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102-e</w:t>
      </w:r>
      <w:r>
        <w:rPr>
          <w:rFonts w:hint="eastAsia" w:ascii="Arial" w:hAnsi="Arial" w:cs="Arial"/>
          <w:b/>
          <w:sz w:val="24"/>
          <w:szCs w:val="24"/>
          <w:highlight w:val="none"/>
        </w:rPr>
        <w:t xml:space="preserve">                              R4-2205466</w:t>
      </w:r>
      <w:bookmarkStart w:id="6" w:name="_GoBack"/>
      <w:bookmarkEnd w:id="6"/>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21</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Feb</w:t>
      </w:r>
      <w:r>
        <w:rPr>
          <w:rFonts w:ascii="Arial" w:hAnsi="Arial" w:cs="Arial"/>
          <w:b/>
          <w:bCs/>
          <w:sz w:val="24"/>
          <w:szCs w:val="24"/>
        </w:rPr>
        <w:t xml:space="preserve"> – 3</w:t>
      </w:r>
      <w:r>
        <w:rPr>
          <w:rFonts w:hint="eastAsia" w:ascii="Arial" w:hAnsi="Arial" w:cs="Arial"/>
          <w:b/>
          <w:bCs/>
          <w:sz w:val="24"/>
          <w:szCs w:val="24"/>
          <w:vertAlign w:val="superscript"/>
          <w:lang w:val="en-US" w:eastAsia="zh-CN"/>
        </w:rPr>
        <w:t>rd</w:t>
      </w:r>
      <w:r>
        <w:rPr>
          <w:rFonts w:ascii="Arial" w:hAnsi="Arial" w:cs="Arial"/>
          <w:b/>
          <w:bCs/>
          <w:sz w:val="24"/>
          <w:szCs w:val="24"/>
        </w:rPr>
        <w:t xml:space="preserve"> Mar</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10</w:t>
      </w:r>
      <w:r>
        <w:rPr>
          <w:rFonts w:hint="eastAsia" w:ascii="Arial" w:hAnsi="Arial" w:cs="Arial"/>
          <w:b/>
          <w:sz w:val="24"/>
          <w:szCs w:val="24"/>
          <w:highlight w:val="none"/>
        </w:rPr>
        <w:t>.</w:t>
      </w:r>
      <w:r>
        <w:rPr>
          <w:rFonts w:hint="eastAsia" w:ascii="Arial" w:hAnsi="Arial" w:cs="Arial"/>
          <w:b/>
          <w:sz w:val="24"/>
          <w:szCs w:val="24"/>
          <w:highlight w:val="none"/>
          <w:lang w:val="en-US" w:eastAsia="zh-CN"/>
        </w:rPr>
        <w:t>5.3.3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MS Mincho"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Further discussions on other requirements of radiated repeater</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ascii="Times New Roman" w:hAnsi="Times New Roman" w:cs="Times New Roman" w:eastAsiaTheme="minorEastAsia"/>
          <w:kern w:val="2"/>
          <w:sz w:val="21"/>
          <w:szCs w:val="22"/>
          <w:highlight w:val="none"/>
          <w:lang w:val="en-US" w:eastAsia="zh-CN" w:bidi="ar-SA"/>
        </w:rPr>
      </w:pPr>
      <w:r>
        <w:rPr>
          <w:rFonts w:hint="eastAsia" w:ascii="Times New Roman" w:hAnsi="Times New Roman" w:cs="Times New Roman" w:eastAsiaTheme="minorEastAsia"/>
          <w:kern w:val="2"/>
          <w:sz w:val="21"/>
          <w:szCs w:val="22"/>
          <w:highlight w:val="none"/>
          <w:lang w:val="en-US" w:eastAsia="zh-CN" w:bidi="ar-SA"/>
        </w:rPr>
        <w:t xml:space="preserve">In the </w:t>
      </w:r>
      <w:bookmarkStart w:id="1" w:name="OLE_LINK2"/>
      <w:r>
        <w:rPr>
          <w:rFonts w:hint="eastAsia" w:ascii="Times New Roman" w:hAnsi="Times New Roman" w:cs="Times New Roman" w:eastAsiaTheme="minorEastAsia"/>
          <w:kern w:val="2"/>
          <w:sz w:val="21"/>
          <w:szCs w:val="22"/>
          <w:highlight w:val="none"/>
          <w:lang w:val="en-US" w:eastAsia="zh-CN" w:bidi="ar-SA"/>
        </w:rPr>
        <w:t>past RAN4 meetings,</w:t>
      </w:r>
      <w:bookmarkEnd w:id="1"/>
      <w:r>
        <w:rPr>
          <w:rFonts w:hint="eastAsia" w:ascii="Times New Roman" w:hAnsi="Times New Roman" w:cs="Times New Roman" w:eastAsiaTheme="minorEastAsia"/>
          <w:kern w:val="2"/>
          <w:sz w:val="21"/>
          <w:szCs w:val="22"/>
          <w:highlight w:val="none"/>
          <w:lang w:val="en-US" w:eastAsia="zh-CN" w:bidi="ar-SA"/>
        </w:rPr>
        <w:t xml:space="preserve"> there were </w:t>
      </w:r>
      <w:r>
        <w:rPr>
          <w:rFonts w:hint="eastAsia" w:cs="Times New Roman" w:eastAsiaTheme="minorEastAsia"/>
          <w:kern w:val="2"/>
          <w:sz w:val="21"/>
          <w:szCs w:val="22"/>
          <w:highlight w:val="none"/>
          <w:lang w:val="en-US" w:eastAsia="zh-CN" w:bidi="ar-SA"/>
        </w:rPr>
        <w:t xml:space="preserve">lots of progress made in last RAN4 meeting, however there are still lots of remaining issues. </w:t>
      </w:r>
      <w:r>
        <w:rPr>
          <w:rFonts w:hint="eastAsia" w:ascii="Times New Roman" w:hAnsi="Times New Roman" w:cs="Times New Roman" w:eastAsiaTheme="minorEastAsia"/>
          <w:kern w:val="2"/>
          <w:sz w:val="21"/>
          <w:szCs w:val="22"/>
          <w:highlight w:val="none"/>
          <w:lang w:val="en-US" w:eastAsia="zh-CN" w:bidi="ar-SA"/>
        </w:rPr>
        <w:t>Therefore in this contribution, we want to share some further considerations on those remaining open issues.</w:t>
      </w:r>
    </w:p>
    <w:p>
      <w:pPr>
        <w:pStyle w:val="52"/>
        <w:tabs>
          <w:tab w:val="left" w:pos="567"/>
          <w:tab w:val="clear" w:pos="1985"/>
        </w:tabs>
        <w:adjustRightInd w:val="0"/>
        <w:ind w:left="510" w:hanging="510"/>
        <w:rPr>
          <w:rFonts w:hint="eastAsia" w:eastAsia="Times New Roman"/>
          <w:highlight w:val="none"/>
          <w:lang w:val="en-US" w:eastAsia="zh-CN"/>
        </w:rPr>
      </w:pPr>
      <w:r>
        <w:rPr>
          <w:rFonts w:hint="eastAsia"/>
          <w:highlight w:val="none"/>
        </w:rPr>
        <w:t xml:space="preserve">Discussion </w:t>
      </w:r>
      <w:bookmarkStart w:id="2" w:name="OLE_LINK10"/>
      <w:bookmarkStart w:id="3" w:name="OLE_LINK14"/>
      <w:bookmarkStart w:id="4" w:name="OLE_LINK20"/>
      <w:bookmarkStart w:id="5" w:name="OLE_LINK13"/>
      <w:r>
        <w:rPr>
          <w:rFonts w:hint="eastAsia" w:eastAsia="Times New Roman"/>
          <w:highlight w:val="none"/>
          <w:lang w:val="en-US" w:eastAsia="zh-CN"/>
        </w:rPr>
        <w:t xml:space="preserve"> </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 xml:space="preserve">2.3. </w:t>
      </w:r>
      <w:r>
        <w:rPr>
          <w:rFonts w:ascii="Arial" w:hAnsi="Arial"/>
          <w:sz w:val="28"/>
          <w:szCs w:val="18"/>
          <w:lang w:val="en-US" w:eastAsia="zh-CN"/>
        </w:rPr>
        <w:t>Input IMD requirements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ind w:firstLine="420" w:firstLineChars="200"/>
              <w:rPr>
                <w:lang w:eastAsia="sv-SE"/>
              </w:rPr>
            </w:pPr>
            <w:r>
              <w:rPr>
                <w:rFonts w:hint="eastAsia"/>
                <w:lang w:eastAsia="sv-SE"/>
              </w:rPr>
              <w:t>T</w:t>
            </w:r>
            <w:r>
              <w:rPr>
                <w:lang w:eastAsia="sv-SE"/>
              </w:rPr>
              <w:t>he BW of the interfering signals is still open issue (currently opinion is split) between the 2 options:</w:t>
            </w:r>
          </w:p>
          <w:p>
            <w:pPr>
              <w:pStyle w:val="31"/>
              <w:numPr>
                <w:ilvl w:val="1"/>
                <w:numId w:val="2"/>
              </w:numPr>
              <w:overflowPunct w:val="0"/>
              <w:autoSpaceDE w:val="0"/>
              <w:autoSpaceDN w:val="0"/>
              <w:adjustRightInd w:val="0"/>
              <w:spacing w:before="120" w:after="120"/>
              <w:ind w:firstLineChars="0"/>
              <w:textAlignment w:val="baseline"/>
              <w:rPr>
                <w:szCs w:val="24"/>
                <w:lang w:eastAsia="zh-CN"/>
              </w:rPr>
            </w:pPr>
            <w:r>
              <w:rPr>
                <w:szCs w:val="24"/>
                <w:lang w:eastAsia="zh-CN"/>
              </w:rPr>
              <w:t>Option 1: modulated signal to 50MHz;</w:t>
            </w:r>
          </w:p>
          <w:p>
            <w:pPr>
              <w:pStyle w:val="31"/>
              <w:numPr>
                <w:ilvl w:val="1"/>
                <w:numId w:val="2"/>
              </w:numPr>
              <w:overflowPunct w:val="0"/>
              <w:autoSpaceDE w:val="0"/>
              <w:autoSpaceDN w:val="0"/>
              <w:adjustRightInd w:val="0"/>
              <w:spacing w:before="120" w:after="120"/>
              <w:ind w:firstLineChars="0"/>
              <w:textAlignment w:val="baseline"/>
              <w:rPr>
                <w:rFonts w:eastAsia="Yu Mincho"/>
                <w:szCs w:val="24"/>
                <w:highlight w:val="green"/>
                <w:lang w:eastAsia="zh-CN"/>
              </w:rPr>
            </w:pPr>
            <w:r>
              <w:rPr>
                <w:rFonts w:hint="eastAsia" w:ascii="Times New Roman" w:hAnsi="Times New Roman" w:eastAsia="宋体" w:cs="v4.1.0"/>
                <w:kern w:val="2"/>
                <w:sz w:val="21"/>
                <w:szCs w:val="22"/>
                <w:lang w:val="en-US" w:eastAsia="zh-CN" w:bidi="ar-SA"/>
              </w:rPr>
              <w:t xml:space="preserve">Option 2: Use 2 CW signals </w:t>
            </w:r>
          </w:p>
        </w:tc>
      </w:tr>
    </w:tbl>
    <w:p>
      <w:pPr>
        <w:rPr>
          <w:rFonts w:hint="default" w:cs="v4.1.0"/>
          <w:lang w:val="en-US" w:eastAsia="zh-CN"/>
        </w:rPr>
      </w:pPr>
      <w:r>
        <w:rPr>
          <w:rFonts w:hint="eastAsia" w:cs="v4.1.0"/>
          <w:lang w:val="en-US" w:eastAsia="zh-CN"/>
        </w:rPr>
        <w:t>In the last RAN4 meeting, there were no further progress on the signal type of input IMD requirement. From our understanding, to generate the CW signal with lager output power, this would be a bit challenging and risky in the OTA chamber, for the simplicity of testing setup in the chamber, we are supportive to go with option 1 with one CW signal and another modulation signal up to 50MHz similar as FR2-1 BS Rx IMD requirements.</w:t>
      </w:r>
    </w:p>
    <w:p>
      <w:pPr>
        <w:rPr>
          <w:rFonts w:hint="default"/>
          <w:b/>
          <w:bCs/>
          <w:lang w:val="en-US" w:eastAsia="zh-CN"/>
        </w:rPr>
      </w:pPr>
      <w:r>
        <w:rPr>
          <w:rFonts w:hint="eastAsia" w:cs="v4.1.0"/>
          <w:b/>
          <w:bCs/>
          <w:lang w:val="en-US" w:eastAsia="zh-CN"/>
        </w:rPr>
        <w:t>Proposal 1: to support option 1 with modulated signal to 50MHz;</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 xml:space="preserve">2.4. </w:t>
      </w:r>
      <w:r>
        <w:rPr>
          <w:rFonts w:ascii="Arial" w:hAnsi="Arial"/>
          <w:sz w:val="28"/>
          <w:szCs w:val="18"/>
          <w:lang w:val="en-US" w:eastAsia="zh-CN"/>
        </w:rPr>
        <w:t>Out of band gain requirements</w:t>
      </w:r>
    </w:p>
    <w:p>
      <w:pPr>
        <w:rPr>
          <w:rFonts w:hint="eastAsia"/>
          <w:lang w:val="en-US" w:eastAsia="zh-CN"/>
        </w:rPr>
      </w:pPr>
      <w:r>
        <w:rPr>
          <w:rFonts w:hint="eastAsia" w:eastAsiaTheme="minorEastAsia"/>
          <w:highlight w:val="none"/>
          <w:lang w:val="en-US" w:eastAsia="zh-CN"/>
        </w:rPr>
        <w:t>In last RAN4 meeting, there are some discussion on out of band requirements, there are several options left for further discussion, therefore in the following section, we want to share some initial understandings on this issue.</w:t>
      </w: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9" w:type="dxa"/>
          </w:tcPr>
          <w:p>
            <w:pPr>
              <w:rPr>
                <w:lang w:eastAsia="sv-SE"/>
              </w:rPr>
            </w:pPr>
            <w:r>
              <w:rPr>
                <w:lang w:eastAsia="sv-SE"/>
              </w:rPr>
              <w:t>These include:</w:t>
            </w:r>
          </w:p>
          <w:p>
            <w:pPr>
              <w:ind w:left="210" w:leftChars="100"/>
              <w:rPr>
                <w:lang w:eastAsia="sv-SE"/>
              </w:rPr>
            </w:pPr>
            <w:r>
              <w:rPr>
                <w:rFonts w:hint="eastAsia"/>
                <w:lang w:eastAsia="sv-SE"/>
              </w:rPr>
              <w:t xml:space="preserve">- </w:t>
            </w:r>
            <w:r>
              <w:rPr>
                <w:lang w:eastAsia="sv-SE"/>
              </w:rPr>
              <w:t>In band gain assumption (FR1 assumes 90dB)</w:t>
            </w:r>
          </w:p>
          <w:p>
            <w:pPr>
              <w:ind w:left="210" w:leftChars="100"/>
              <w:rPr>
                <w:lang w:eastAsia="sv-SE"/>
              </w:rPr>
            </w:pPr>
            <w:r>
              <w:rPr>
                <w:lang w:eastAsia="sv-SE"/>
              </w:rPr>
              <w:t>- Antennas gain (e.g. BS assumes 10 to 32dBi)</w:t>
            </w:r>
          </w:p>
          <w:p>
            <w:pPr>
              <w:ind w:left="420" w:leftChars="200"/>
              <w:rPr>
                <w:lang w:eastAsia="sv-SE"/>
              </w:rPr>
            </w:pPr>
            <w:r>
              <w:rPr>
                <w:lang w:eastAsia="sv-SE"/>
              </w:rPr>
              <w:t>- BS side</w:t>
            </w:r>
          </w:p>
          <w:p>
            <w:pPr>
              <w:ind w:left="420" w:leftChars="200"/>
              <w:rPr>
                <w:lang w:eastAsia="sv-SE"/>
              </w:rPr>
            </w:pPr>
            <w:r>
              <w:rPr>
                <w:lang w:eastAsia="sv-SE"/>
              </w:rPr>
              <w:t>- UE side</w:t>
            </w:r>
          </w:p>
          <w:p>
            <w:pPr>
              <w:ind w:left="210" w:leftChars="100"/>
              <w:rPr>
                <w:lang w:eastAsia="sv-SE"/>
              </w:rPr>
            </w:pPr>
            <w:r>
              <w:rPr>
                <w:rFonts w:hint="eastAsia"/>
                <w:lang w:eastAsia="sv-SE"/>
              </w:rPr>
              <w:t xml:space="preserve">- </w:t>
            </w:r>
            <w:r>
              <w:rPr>
                <w:lang w:eastAsia="sv-SE"/>
              </w:rPr>
              <w:t>BS to repeater MCL/PL including both:</w:t>
            </w:r>
          </w:p>
          <w:p>
            <w:pPr>
              <w:ind w:left="420" w:leftChars="200"/>
              <w:rPr>
                <w:lang w:eastAsia="sv-SE"/>
              </w:rPr>
            </w:pPr>
            <w:r>
              <w:rPr>
                <w:lang w:eastAsia="sv-SE"/>
              </w:rPr>
              <w:tab/>
            </w:r>
            <w:r>
              <w:rPr>
                <w:lang w:eastAsia="sv-SE"/>
              </w:rPr>
              <w:t>- Serving BS to repeater</w:t>
            </w:r>
          </w:p>
          <w:p>
            <w:pPr>
              <w:ind w:left="420" w:leftChars="200"/>
              <w:rPr>
                <w:lang w:eastAsia="sv-SE"/>
              </w:rPr>
            </w:pPr>
            <w:r>
              <w:rPr>
                <w:lang w:eastAsia="sv-SE"/>
              </w:rPr>
              <w:tab/>
            </w:r>
            <w:r>
              <w:rPr>
                <w:lang w:eastAsia="sv-SE"/>
              </w:rPr>
              <w:t>-  Other (victim) BS to repeater</w:t>
            </w:r>
          </w:p>
          <w:p>
            <w:pPr>
              <w:ind w:left="210" w:leftChars="100"/>
              <w:rPr>
                <w:lang w:eastAsia="sv-SE"/>
              </w:rPr>
            </w:pPr>
            <w:r>
              <w:rPr>
                <w:lang w:eastAsia="sv-SE"/>
              </w:rPr>
              <w:t>- UE to repeater MCL/PL including both:</w:t>
            </w:r>
          </w:p>
          <w:p>
            <w:pPr>
              <w:ind w:left="420" w:leftChars="200"/>
              <w:rPr>
                <w:lang w:eastAsia="sv-SE"/>
              </w:rPr>
            </w:pPr>
            <w:r>
              <w:rPr>
                <w:lang w:eastAsia="sv-SE"/>
              </w:rPr>
              <w:tab/>
            </w:r>
            <w:r>
              <w:rPr>
                <w:lang w:eastAsia="sv-SE"/>
              </w:rPr>
              <w:t>- Served UE to repeater</w:t>
            </w:r>
          </w:p>
          <w:p>
            <w:pPr>
              <w:ind w:left="420" w:leftChars="200"/>
              <w:rPr>
                <w:rFonts w:eastAsiaTheme="minorEastAsia"/>
                <w:b/>
                <w:bCs/>
                <w:highlight w:val="green"/>
                <w:u w:val="single"/>
                <w:lang w:val="en-US" w:eastAsia="zh-CN"/>
              </w:rPr>
            </w:pPr>
            <w:r>
              <w:rPr>
                <w:lang w:eastAsia="sv-SE"/>
              </w:rPr>
              <w:tab/>
            </w:r>
            <w:r>
              <w:rPr>
                <w:lang w:eastAsia="sv-SE"/>
              </w:rPr>
              <w:t>-  Other (victim) UE(s) to repeater</w:t>
            </w:r>
          </w:p>
        </w:tc>
      </w:tr>
    </w:tbl>
    <w:p>
      <w:pPr>
        <w:jc w:val="both"/>
        <w:rPr>
          <w:rFonts w:hint="default"/>
          <w:lang w:val="en-US" w:eastAsia="zh-CN"/>
        </w:rPr>
      </w:pPr>
      <w:r>
        <w:rPr>
          <w:rFonts w:hint="eastAsia"/>
          <w:lang w:val="en-US" w:eastAsia="zh-CN"/>
        </w:rPr>
        <w:t xml:space="preserve">Based on the initial simulation results as shown in Figure 1/2 with its simulation assumptions in TR38.803, if repeater with maximum in-band gain as 80dB, UE at the cell edge with the help of coverage extension with FR2 repeater, it can have the same experience as UE with best side conditions as cell center UE.  </w:t>
      </w:r>
    </w:p>
    <w:p>
      <w:pPr>
        <w:jc w:val="both"/>
        <w:rPr>
          <w:rFonts w:hint="eastAsia"/>
          <w:lang w:val="en-US" w:eastAsia="zh-CN"/>
        </w:rPr>
      </w:pPr>
      <w:r>
        <w:rPr>
          <w:rFonts w:hint="eastAsia"/>
          <w:lang w:val="en-US" w:eastAsia="zh-CN"/>
        </w:rPr>
        <w:t xml:space="preserve">As shown in Figure 1, for urban macro scenario, the coupling loss for cell edge UEs could be improved up to 70dBc; Therefore if NR based repeater with in-band gain as 80dBc, it should be sufficient enough to ensure normal UE coverage by the repeater deployment. </w:t>
      </w:r>
    </w:p>
    <w:p>
      <w:pPr>
        <w:jc w:val="both"/>
        <w:rPr>
          <w:rFonts w:hint="default" w:eastAsia="宋体"/>
          <w:vertAlign w:val="baseline"/>
          <w:lang w:val="en-US" w:eastAsia="zh-CN"/>
        </w:rPr>
      </w:pPr>
      <w:r>
        <w:rPr>
          <w:rFonts w:hint="eastAsia"/>
          <w:lang w:val="en-US" w:eastAsia="zh-CN"/>
        </w:rPr>
        <w:t xml:space="preserve">In addition, assuming FR2 AAS BS with 100MHz and 30dBm TRP, then in-band PSD should be 10dBm/MHz and the emission in the </w:t>
      </w:r>
      <w:r>
        <w:rPr>
          <w:kern w:val="2"/>
          <w:szCs w:val="22"/>
          <w:lang w:val="en-US" w:eastAsia="zh-CN"/>
        </w:rPr>
        <w:t>0.1</w:t>
      </w:r>
      <w:r>
        <w:rPr>
          <w:rFonts w:cs="Arial"/>
          <w:kern w:val="2"/>
          <w:szCs w:val="22"/>
          <w:lang w:val="en-US" w:eastAsia="zh-CN"/>
        </w:rPr>
        <w:t>*</w:t>
      </w:r>
      <w:r>
        <w:t>BW</w:t>
      </w:r>
      <w:r>
        <w:rPr>
          <w:vertAlign w:val="subscript"/>
        </w:rPr>
        <w:t>contiguous</w:t>
      </w:r>
      <w:r>
        <w:rPr>
          <w:rFonts w:hint="eastAsia"/>
          <w:vertAlign w:val="subscript"/>
          <w:lang w:val="en-US" w:eastAsia="zh-CN"/>
        </w:rPr>
        <w:t xml:space="preserve"> </w:t>
      </w:r>
      <w:r>
        <w:rPr>
          <w:rFonts w:hint="eastAsia"/>
          <w:vertAlign w:val="baseline"/>
          <w:lang w:val="en-US" w:eastAsia="zh-CN"/>
        </w:rPr>
        <w:t xml:space="preserve">should be -5dBm/MHz, therefore the effective ACLR within </w:t>
      </w:r>
      <w:r>
        <w:t>BW</w:t>
      </w:r>
      <w:r>
        <w:rPr>
          <w:vertAlign w:val="subscript"/>
        </w:rPr>
        <w:t>contiguous</w:t>
      </w:r>
      <w:r>
        <w:rPr>
          <w:rFonts w:hint="eastAsia"/>
          <w:vertAlign w:val="subscript"/>
          <w:lang w:val="en-US" w:eastAsia="zh-CN"/>
        </w:rPr>
        <w:t xml:space="preserve"> </w:t>
      </w:r>
      <w:r>
        <w:rPr>
          <w:rFonts w:hint="eastAsia"/>
          <w:vertAlign w:val="baseline"/>
          <w:lang w:val="en-US" w:eastAsia="zh-CN"/>
        </w:rPr>
        <w:t xml:space="preserve">should be 15dBc. If out of band gain within </w:t>
      </w:r>
      <w:r>
        <w:rPr>
          <w:kern w:val="2"/>
          <w:szCs w:val="22"/>
          <w:lang w:val="en-US" w:eastAsia="zh-CN"/>
        </w:rPr>
        <w:t>0.1</w:t>
      </w:r>
      <w:r>
        <w:rPr>
          <w:rFonts w:cs="Arial"/>
          <w:kern w:val="2"/>
          <w:szCs w:val="22"/>
          <w:lang w:val="en-US" w:eastAsia="zh-CN"/>
        </w:rPr>
        <w:t>*</w:t>
      </w:r>
      <w:r>
        <w:t>BW</w:t>
      </w:r>
      <w:r>
        <w:rPr>
          <w:vertAlign w:val="subscript"/>
        </w:rPr>
        <w:t>contiguous</w:t>
      </w:r>
      <w:r>
        <w:rPr>
          <w:rFonts w:hint="eastAsia"/>
          <w:vertAlign w:val="baseline"/>
          <w:lang w:val="en-US" w:eastAsia="zh-CN"/>
        </w:rPr>
        <w:t xml:space="preserve"> is 65dBc similar as FR</w:t>
      </w:r>
      <w:r>
        <w:rPr>
          <w:rFonts w:hint="eastAsia" w:ascii="Times New Roman" w:hAnsi="Times New Roman" w:cs="Times New Roman"/>
          <w:vertAlign w:val="baseline"/>
          <w:lang w:val="en-US" w:eastAsia="zh-CN"/>
        </w:rPr>
        <w:t>1, then the i</w:t>
      </w:r>
      <w:r>
        <w:rPr>
          <w:rFonts w:hint="eastAsia"/>
          <w:lang w:val="en-US" w:eastAsia="zh-CN"/>
        </w:rPr>
        <w:t xml:space="preserve">nterference signal amplified by repeater should be similar or lower than unwanted emissions. </w:t>
      </w:r>
    </w:p>
    <w:p>
      <w:pPr>
        <w:jc w:val="both"/>
        <w:rPr>
          <w:rFonts w:hint="eastAsia"/>
          <w:lang w:val="en-US" w:eastAsia="zh-CN"/>
        </w:rPr>
      </w:pPr>
      <w:r>
        <w:rPr>
          <w:rFonts w:hint="eastAsia"/>
          <w:b/>
          <w:bCs/>
          <w:lang w:val="en-US" w:eastAsia="zh-CN"/>
        </w:rPr>
        <w:t>Unwanted emission generated by itself</w:t>
      </w:r>
      <w:r>
        <w:rPr>
          <w:rFonts w:hint="eastAsia"/>
          <w:lang w:val="en-US" w:eastAsia="zh-CN"/>
        </w:rPr>
        <w:t>= wanted signal+80d</w:t>
      </w:r>
      <w:r>
        <w:rPr>
          <w:rFonts w:hint="eastAsia"/>
          <w:highlight w:val="none"/>
          <w:lang w:val="en-US" w:eastAsia="zh-CN"/>
        </w:rPr>
        <w:t>Bi gain-</w:t>
      </w:r>
      <w:r>
        <w:rPr>
          <w:rFonts w:hint="eastAsia"/>
          <w:color w:val="auto"/>
          <w:highlight w:val="none"/>
          <w:lang w:val="en-US" w:eastAsia="zh-CN"/>
        </w:rPr>
        <w:t xml:space="preserve"> 15dBc </w:t>
      </w:r>
      <w:r>
        <w:rPr>
          <w:rFonts w:hint="eastAsia"/>
          <w:highlight w:val="none"/>
          <w:lang w:val="en-US" w:eastAsia="zh-CN"/>
        </w:rPr>
        <w:t xml:space="preserve">at </w:t>
      </w:r>
      <w:r>
        <w:rPr>
          <w:kern w:val="2"/>
          <w:szCs w:val="22"/>
          <w:highlight w:val="none"/>
          <w:lang w:val="en-US" w:eastAsia="zh-CN"/>
        </w:rPr>
        <w:t>0.1</w:t>
      </w:r>
      <w:r>
        <w:rPr>
          <w:rFonts w:cs="Arial"/>
          <w:kern w:val="2"/>
          <w:szCs w:val="22"/>
          <w:highlight w:val="none"/>
          <w:lang w:val="en-US" w:eastAsia="zh-CN"/>
        </w:rPr>
        <w:t>*</w:t>
      </w:r>
      <w:r>
        <w:rPr>
          <w:highlight w:val="none"/>
        </w:rPr>
        <w:t>BW</w:t>
      </w:r>
      <w:r>
        <w:rPr>
          <w:highlight w:val="none"/>
          <w:vertAlign w:val="subscript"/>
        </w:rPr>
        <w:t>contiguous</w:t>
      </w:r>
      <w:r>
        <w:rPr>
          <w:rFonts w:hint="eastAsia"/>
          <w:highlight w:val="none"/>
          <w:lang w:val="en-US" w:eastAsia="zh-CN"/>
        </w:rPr>
        <w:t>;</w:t>
      </w:r>
    </w:p>
    <w:p>
      <w:pPr>
        <w:jc w:val="both"/>
        <w:rPr>
          <w:rFonts w:hint="eastAsia"/>
          <w:lang w:val="en-US" w:eastAsia="zh-CN"/>
        </w:rPr>
      </w:pPr>
      <w:r>
        <w:rPr>
          <w:rFonts w:hint="eastAsia"/>
          <w:b/>
          <w:bCs/>
          <w:lang w:val="en-US" w:eastAsia="zh-CN"/>
        </w:rPr>
        <w:t>interference amplified by repeater</w:t>
      </w:r>
      <w:r>
        <w:rPr>
          <w:rFonts w:hint="eastAsia"/>
          <w:lang w:val="en-US" w:eastAsia="zh-CN"/>
        </w:rPr>
        <w:t>= interference signal+</w:t>
      </w:r>
      <w:r>
        <w:rPr>
          <w:rFonts w:hint="eastAsia"/>
          <w:highlight w:val="none"/>
          <w:lang w:val="en-US" w:eastAsia="zh-CN"/>
        </w:rPr>
        <w:t>65dBi out</w:t>
      </w:r>
      <w:r>
        <w:rPr>
          <w:rFonts w:hint="eastAsia"/>
          <w:lang w:val="en-US" w:eastAsia="zh-CN"/>
        </w:rPr>
        <w:t xml:space="preserve"> of band gain at </w:t>
      </w:r>
      <w:r>
        <w:rPr>
          <w:kern w:val="2"/>
          <w:szCs w:val="22"/>
          <w:lang w:val="en-US" w:eastAsia="zh-CN"/>
        </w:rPr>
        <w:t>0.1</w:t>
      </w:r>
      <w:r>
        <w:rPr>
          <w:rFonts w:cs="Arial"/>
          <w:kern w:val="2"/>
          <w:szCs w:val="22"/>
          <w:lang w:val="en-US" w:eastAsia="zh-CN"/>
        </w:rPr>
        <w:t>*</w:t>
      </w:r>
      <w:r>
        <w:t>BW</w:t>
      </w:r>
      <w:r>
        <w:rPr>
          <w:vertAlign w:val="subscript"/>
        </w:rPr>
        <w:t>contiguous</w:t>
      </w:r>
      <w:r>
        <w:rPr>
          <w:rFonts w:hint="eastAsia"/>
          <w:lang w:val="en-US" w:eastAsia="zh-CN"/>
        </w:rPr>
        <w:t>;</w:t>
      </w:r>
    </w:p>
    <w:p>
      <w:pPr>
        <w:jc w:val="both"/>
        <w:rPr>
          <w:rFonts w:hint="eastAsia"/>
          <w:lang w:val="en-US" w:eastAsia="zh-CN"/>
        </w:rPr>
      </w:pPr>
      <w:r>
        <w:rPr>
          <w:rFonts w:hint="eastAsia"/>
          <w:lang w:val="en-US" w:eastAsia="zh-CN"/>
        </w:rPr>
        <w:t>Where:</w:t>
      </w:r>
    </w:p>
    <w:p>
      <w:pPr>
        <w:numPr>
          <w:ilvl w:val="0"/>
          <w:numId w:val="3"/>
        </w:numPr>
        <w:ind w:left="420" w:leftChars="0" w:hanging="420" w:firstLineChars="0"/>
        <w:jc w:val="both"/>
        <w:rPr>
          <w:rFonts w:hint="eastAsia"/>
          <w:lang w:val="en-US" w:eastAsia="zh-CN"/>
        </w:rPr>
      </w:pPr>
      <w:r>
        <w:rPr>
          <w:rFonts w:hint="eastAsia"/>
          <w:lang w:val="en-US" w:eastAsia="zh-CN"/>
        </w:rPr>
        <w:t xml:space="preserve">The interference signal power level is the same as wanted signal power level;   </w:t>
      </w:r>
    </w:p>
    <w:p>
      <w:pPr>
        <w:jc w:val="both"/>
        <w:rPr>
          <w:rFonts w:hint="default"/>
          <w:lang w:val="en-US" w:eastAsia="zh-CN"/>
        </w:rPr>
      </w:pPr>
    </w:p>
    <w:p>
      <w:r>
        <w:drawing>
          <wp:inline distT="0" distB="0" distL="114300" distR="114300">
            <wp:extent cx="6187440" cy="2806065"/>
            <wp:effectExtent l="4445" t="4445" r="10795" b="8890"/>
            <wp:docPr id="1333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jc w:val="center"/>
        <w:rPr>
          <w:rFonts w:hint="eastAsia"/>
          <w:lang w:val="en-US" w:eastAsia="zh-CN"/>
        </w:rPr>
      </w:pPr>
      <w:r>
        <w:rPr>
          <w:rFonts w:hint="eastAsia"/>
          <w:lang w:val="en-US" w:eastAsia="zh-CN"/>
        </w:rPr>
        <w:t>Figure 1. Coupling loss for AAS NR Urban Macro at 30GHz [pathloss+BS antenna gain+UE antenna gain]</w:t>
      </w:r>
    </w:p>
    <w:p>
      <w:pPr>
        <w:jc w:val="center"/>
      </w:pPr>
      <w:r>
        <w:drawing>
          <wp:inline distT="0" distB="0" distL="114300" distR="114300">
            <wp:extent cx="6183630" cy="2454275"/>
            <wp:effectExtent l="4445" t="4445" r="14605" b="10160"/>
            <wp:docPr id="309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jc w:val="center"/>
        <w:rPr>
          <w:rFonts w:hint="eastAsia"/>
          <w:lang w:val="en-US" w:eastAsia="zh-CN"/>
        </w:rPr>
      </w:pPr>
      <w:r>
        <w:rPr>
          <w:rFonts w:hint="eastAsia"/>
          <w:lang w:val="en-US" w:eastAsia="zh-CN"/>
        </w:rPr>
        <w:t>Figure 2. Coupling loss for AAS NR Indoor at 30GHz [pathloss+BS antenna gain+UE antenna gain]</w:t>
      </w:r>
    </w:p>
    <w:p>
      <w:pPr>
        <w:jc w:val="center"/>
        <w:rPr>
          <w:rFonts w:hint="default"/>
          <w:lang w:val="en-US" w:eastAsia="zh-CN"/>
        </w:rPr>
      </w:pPr>
    </w:p>
    <w:p>
      <w:pPr>
        <w:jc w:val="both"/>
        <w:rPr>
          <w:rFonts w:hint="default"/>
          <w:lang w:val="en-US" w:eastAsia="zh-CN"/>
        </w:rPr>
      </w:pPr>
      <w:r>
        <w:rPr>
          <w:rFonts w:hint="eastAsia"/>
          <w:lang w:val="en-US" w:eastAsia="zh-CN"/>
        </w:rPr>
        <w:t>Based on the above considerations, we think that in-band gain for FR2 could be 80dBc at most. For out of band gain requirement, it could be further discussed.</w:t>
      </w:r>
    </w:p>
    <w:p>
      <w:pPr>
        <w:jc w:val="both"/>
        <w:rPr>
          <w:rFonts w:hint="eastAsia"/>
          <w:lang w:val="en-US" w:eastAsia="zh-CN"/>
        </w:rPr>
      </w:pPr>
      <w:r>
        <w:rPr>
          <w:rFonts w:hint="eastAsia"/>
          <w:b/>
          <w:bCs/>
          <w:lang w:val="en-US" w:eastAsia="zh-CN"/>
        </w:rPr>
        <w:t xml:space="preserve">Proposal 2: in-band gain for FR2 could be 80dBc at most; </w:t>
      </w:r>
    </w:p>
    <w:p>
      <w:pPr>
        <w:jc w:val="both"/>
        <w:rPr>
          <w:rFonts w:hint="eastAsia"/>
          <w:lang w:val="en-US" w:eastAsia="zh-CN"/>
        </w:rPr>
      </w:pPr>
    </w:p>
    <w:p>
      <w:pPr>
        <w:jc w:val="both"/>
        <w:rPr>
          <w:rFonts w:hint="eastAsia"/>
          <w:lang w:val="en-US" w:eastAsia="zh-CN"/>
        </w:rPr>
      </w:pPr>
      <w:r>
        <w:rPr>
          <w:rFonts w:hint="eastAsia"/>
          <w:lang w:val="en-US" w:eastAsia="zh-CN"/>
        </w:rPr>
        <w:t>In addition, based on the comparison between LTE based repeater Cat B option 2 OBUE requirements and Out of band gain limit, it could be found that there are also some similarity between them, therefore gap between adjacent limits are close. For example, for OBUE requirement, at freq offset from carrier edge 0.2MHz, its PSD in 30kH is -14dBm with the assumption of 46dBm output power, the relative ACLR is around 31dBc (17dBm-(-14dBm)); for OOBB gain, at freq offset from carrier edge 0.2MHz, its OOBB gain is 60dBc with the assumption of 90dBc maximum in-band gain, then relative OOBB gain offset is 30dBc (90dBc-60dBc) which is close to effective ACLR 31dBc.</w:t>
      </w:r>
    </w:p>
    <w:p>
      <w:pPr>
        <w:jc w:val="both"/>
        <w:rPr>
          <w:rFonts w:hint="eastAsia"/>
          <w:lang w:val="en-US" w:eastAsia="zh-CN"/>
        </w:rPr>
      </w:pPr>
      <w:r>
        <w:rPr>
          <w:rFonts w:hint="eastAsia"/>
          <w:lang w:val="en-US" w:eastAsia="zh-CN"/>
        </w:rPr>
        <w:t>Similar for other frequency offset, at freq offset from carrier edge 10MHz, its PSD in 30kHz is -28.2dBm, its relative ACLR is around 45.2dBc (17dBm-(-28.2dBm)); for OOBB gain, at freq offset from carrier edge 10MHz, its OOBB gain is 45dBc with the assumption of 90dBc maximum in-band gain, then relative OOBB gain offset is 45dBc (90dBc-45dBc) which is close to effective ACLR 45.2dBc.</w:t>
      </w:r>
    </w:p>
    <w:p>
      <w:pPr>
        <w:jc w:val="both"/>
        <w:rPr>
          <w:rFonts w:hint="default"/>
          <w:lang w:val="en-US" w:eastAsia="zh-CN"/>
        </w:rPr>
      </w:pPr>
    </w:p>
    <w:tbl>
      <w:tblPr>
        <w:tblStyle w:val="21"/>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32"/>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Pr>
          <w:p>
            <w:pPr>
              <w:pStyle w:val="32"/>
              <w:rPr>
                <w:rFonts w:hint="default" w:eastAsia="宋体" w:cs="Arial"/>
                <w:lang w:val="en-US" w:eastAsia="zh-CN"/>
              </w:rPr>
            </w:pPr>
            <w:r>
              <w:rPr>
                <w:rFonts w:hint="eastAsia" w:eastAsia="宋体" w:cs="Arial"/>
                <w:lang w:val="en-US" w:eastAsia="zh-CN"/>
              </w:rPr>
              <w:t>PSD at the freq edge in dBm</w:t>
            </w:r>
          </w:p>
        </w:tc>
        <w:tc>
          <w:tcPr>
            <w:tcW w:w="3455" w:type="dxa"/>
          </w:tcPr>
          <w:p>
            <w:pPr>
              <w:pStyle w:val="32"/>
              <w:rPr>
                <w:rFonts w:hint="default" w:eastAsia="宋体" w:cs="Arial"/>
                <w:lang w:val="en-US" w:eastAsia="zh-CN"/>
              </w:rPr>
            </w:pPr>
            <w:r>
              <w:rPr>
                <w:rFonts w:hint="eastAsia" w:eastAsia="宋体" w:cs="Arial"/>
                <w:lang w:val="en-US" w:eastAsia="zh-CN"/>
              </w:rPr>
              <w:t>Out of band gain limit in dB</w:t>
            </w:r>
          </w:p>
        </w:tc>
        <w:tc>
          <w:tcPr>
            <w:tcW w:w="1430" w:type="dxa"/>
          </w:tcPr>
          <w:p>
            <w:pPr>
              <w:pStyle w:val="32"/>
              <w:rPr>
                <w:rFonts w:cs="Arial"/>
              </w:rPr>
            </w:pPr>
            <w:r>
              <w:rPr>
                <w:rFonts w:cs="Arial"/>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33"/>
              <w:rPr>
                <w:rFonts w:hint="default" w:eastAsia="宋体" w:cs="v5.0.0"/>
                <w:lang w:val="en-US" w:eastAsia="zh-CN"/>
              </w:rPr>
            </w:pPr>
            <w:r>
              <w:rPr>
                <w:rFonts w:hint="eastAsia" w:eastAsia="宋体" w:cs="v5.0.0"/>
                <w:lang w:val="en-US" w:eastAsia="zh-CN"/>
              </w:rPr>
              <w:t>In-band signal</w:t>
            </w:r>
          </w:p>
        </w:tc>
        <w:tc>
          <w:tcPr>
            <w:tcW w:w="2976" w:type="dxa"/>
          </w:tcPr>
          <w:p>
            <w:pPr>
              <w:pStyle w:val="33"/>
              <w:rPr>
                <w:rFonts w:hint="default" w:eastAsia="宋体" w:cs="v5.0.0"/>
                <w:lang w:val="en-US" w:eastAsia="zh-CN"/>
              </w:rPr>
            </w:pPr>
            <w:r>
              <w:rPr>
                <w:sz w:val="18"/>
              </w:rPr>
              <mc:AlternateContent>
                <mc:Choice Requires="wps">
                  <w:drawing>
                    <wp:anchor distT="0" distB="0" distL="114300" distR="114300" simplePos="0" relativeHeight="251662336" behindDoc="0" locked="0" layoutInCell="1" allowOverlap="1">
                      <wp:simplePos x="0" y="0"/>
                      <wp:positionH relativeFrom="column">
                        <wp:posOffset>987425</wp:posOffset>
                      </wp:positionH>
                      <wp:positionV relativeFrom="paragraph">
                        <wp:posOffset>67310</wp:posOffset>
                      </wp:positionV>
                      <wp:extent cx="657860" cy="1295400"/>
                      <wp:effectExtent l="1270" t="12700" r="26670" b="17780"/>
                      <wp:wrapNone/>
                      <wp:docPr id="5" name="任意多边形 5"/>
                      <wp:cNvGraphicFramePr/>
                      <a:graphic xmlns:a="http://schemas.openxmlformats.org/drawingml/2006/main">
                        <a:graphicData uri="http://schemas.microsoft.com/office/word/2010/wordprocessingShape">
                          <wps:wsp>
                            <wps:cNvSpPr/>
                            <wps:spPr>
                              <a:xfrm>
                                <a:off x="3015615" y="5353050"/>
                                <a:ext cx="657860" cy="1295400"/>
                              </a:xfrm>
                              <a:custGeom>
                                <a:avLst/>
                                <a:gdLst>
                                  <a:gd name="connisteX0" fmla="*/ 0 w 657860"/>
                                  <a:gd name="connsiteY0" fmla="*/ 0 h 1295400"/>
                                  <a:gd name="connisteX1" fmla="*/ 69215 w 657860"/>
                                  <a:gd name="connsiteY1" fmla="*/ 6985 h 1295400"/>
                                  <a:gd name="connisteX2" fmla="*/ 138430 w 657860"/>
                                  <a:gd name="connsiteY2" fmla="*/ 20955 h 1295400"/>
                                  <a:gd name="connisteX3" fmla="*/ 207645 w 657860"/>
                                  <a:gd name="connsiteY3" fmla="*/ 27940 h 1295400"/>
                                  <a:gd name="connisteX4" fmla="*/ 276860 w 657860"/>
                                  <a:gd name="connsiteY4" fmla="*/ 41910 h 1295400"/>
                                  <a:gd name="connisteX5" fmla="*/ 346075 w 657860"/>
                                  <a:gd name="connsiteY5" fmla="*/ 83185 h 1295400"/>
                                  <a:gd name="connisteX6" fmla="*/ 415290 w 657860"/>
                                  <a:gd name="connsiteY6" fmla="*/ 118110 h 1295400"/>
                                  <a:gd name="connisteX7" fmla="*/ 484505 w 657860"/>
                                  <a:gd name="connsiteY7" fmla="*/ 173355 h 1295400"/>
                                  <a:gd name="connisteX8" fmla="*/ 553720 w 657860"/>
                                  <a:gd name="connsiteY8" fmla="*/ 214630 h 1295400"/>
                                  <a:gd name="connisteX9" fmla="*/ 623570 w 657860"/>
                                  <a:gd name="connsiteY9" fmla="*/ 290830 h 1295400"/>
                                  <a:gd name="connisteX10" fmla="*/ 643890 w 657860"/>
                                  <a:gd name="connsiteY10" fmla="*/ 360045 h 1295400"/>
                                  <a:gd name="connisteX11" fmla="*/ 650875 w 657860"/>
                                  <a:gd name="connsiteY11" fmla="*/ 436245 h 1295400"/>
                                  <a:gd name="connisteX12" fmla="*/ 657860 w 657860"/>
                                  <a:gd name="connsiteY12" fmla="*/ 506095 h 1295400"/>
                                  <a:gd name="connisteX13" fmla="*/ 650875 w 657860"/>
                                  <a:gd name="connsiteY13" fmla="*/ 575310 h 1295400"/>
                                  <a:gd name="connisteX14" fmla="*/ 636905 w 657860"/>
                                  <a:gd name="connsiteY14" fmla="*/ 644525 h 1295400"/>
                                  <a:gd name="connisteX15" fmla="*/ 609600 w 657860"/>
                                  <a:gd name="connsiteY15" fmla="*/ 713740 h 1295400"/>
                                  <a:gd name="connisteX16" fmla="*/ 553720 w 657860"/>
                                  <a:gd name="connsiteY16" fmla="*/ 789940 h 1295400"/>
                                  <a:gd name="connisteX17" fmla="*/ 484505 w 657860"/>
                                  <a:gd name="connsiteY17" fmla="*/ 852170 h 1295400"/>
                                  <a:gd name="connisteX18" fmla="*/ 422275 w 657860"/>
                                  <a:gd name="connsiteY18" fmla="*/ 921385 h 1295400"/>
                                  <a:gd name="connisteX19" fmla="*/ 353060 w 657860"/>
                                  <a:gd name="connsiteY19" fmla="*/ 997585 h 1295400"/>
                                  <a:gd name="connisteX20" fmla="*/ 297815 w 657860"/>
                                  <a:gd name="connsiteY20" fmla="*/ 1066800 h 1295400"/>
                                  <a:gd name="connisteX21" fmla="*/ 242570 w 657860"/>
                                  <a:gd name="connsiteY21" fmla="*/ 1136015 h 1295400"/>
                                  <a:gd name="connisteX22" fmla="*/ 172720 w 657860"/>
                                  <a:gd name="connsiteY22" fmla="*/ 1198245 h 1295400"/>
                                  <a:gd name="connisteX23" fmla="*/ 103505 w 657860"/>
                                  <a:gd name="connsiteY23" fmla="*/ 1254125 h 1295400"/>
                                  <a:gd name="connisteX24" fmla="*/ 34290 w 657860"/>
                                  <a:gd name="connsiteY24" fmla="*/ 1295400 h 1295400"/>
                                </a:gdLst>
                                <a:ahLst/>
                                <a:cxnLst>
                                  <a:cxn ang="0">
                                    <a:pos x="connisteX0" y="connsiteY0"/>
                                  </a:cxn>
                                  <a:cxn ang="0">
                                    <a:pos x="connisteX1" y="connsiteY1"/>
                                  </a:cxn>
                                  <a:cxn ang="0">
                                    <a:pos x="connisteX2" y="connsiteY2"/>
                                  </a:cxn>
                                  <a:cxn ang="0">
                                    <a:pos x="connisteX3" y="connsiteY3"/>
                                  </a:cxn>
                                  <a:cxn ang="0">
                                    <a:pos x="connisteX4" y="connsiteY4"/>
                                  </a:cxn>
                                  <a:cxn ang="0">
                                    <a:pos x="connisteX5" y="connsiteY5"/>
                                  </a:cxn>
                                  <a:cxn ang="0">
                                    <a:pos x="connisteX6" y="connsiteY6"/>
                                  </a:cxn>
                                  <a:cxn ang="0">
                                    <a:pos x="connisteX7" y="connsiteY7"/>
                                  </a:cxn>
                                  <a:cxn ang="0">
                                    <a:pos x="connisteX8" y="connsiteY8"/>
                                  </a:cxn>
                                  <a:cxn ang="0">
                                    <a:pos x="connisteX9" y="connsiteY9"/>
                                  </a:cxn>
                                  <a:cxn ang="0">
                                    <a:pos x="connisteX10" y="connsiteY10"/>
                                  </a:cxn>
                                  <a:cxn ang="0">
                                    <a:pos x="connisteX11" y="connsiteY11"/>
                                  </a:cxn>
                                  <a:cxn ang="0">
                                    <a:pos x="connisteX12" y="connsiteY12"/>
                                  </a:cxn>
                                  <a:cxn ang="0">
                                    <a:pos x="connisteX13" y="connsiteY13"/>
                                  </a:cxn>
                                  <a:cxn ang="0">
                                    <a:pos x="connisteX14" y="connsiteY14"/>
                                  </a:cxn>
                                  <a:cxn ang="0">
                                    <a:pos x="connisteX15" y="connsiteY15"/>
                                  </a:cxn>
                                  <a:cxn ang="0">
                                    <a:pos x="connisteX16" y="connsiteY16"/>
                                  </a:cxn>
                                  <a:cxn ang="0">
                                    <a:pos x="connisteX17" y="connsiteY17"/>
                                  </a:cxn>
                                  <a:cxn ang="0">
                                    <a:pos x="connisteX18" y="connsiteY18"/>
                                  </a:cxn>
                                  <a:cxn ang="0">
                                    <a:pos x="connisteX19" y="connsiteY19"/>
                                  </a:cxn>
                                  <a:cxn ang="0">
                                    <a:pos x="connisteX20" y="connsiteY20"/>
                                  </a:cxn>
                                  <a:cxn ang="0">
                                    <a:pos x="connisteX21" y="connsiteY21"/>
                                  </a:cxn>
                                  <a:cxn ang="0">
                                    <a:pos x="connisteX22" y="connsiteY22"/>
                                  </a:cxn>
                                  <a:cxn ang="0">
                                    <a:pos x="connisteX23" y="connsiteY23"/>
                                  </a:cxn>
                                  <a:cxn ang="0">
                                    <a:pos x="connisteX24" y="connsiteY24"/>
                                  </a:cxn>
                                </a:cxnLst>
                                <a:rect l="l" t="t" r="r" b="b"/>
                                <a:pathLst>
                                  <a:path w="657860" h="1295400">
                                    <a:moveTo>
                                      <a:pt x="0" y="0"/>
                                    </a:moveTo>
                                    <a:cubicBezTo>
                                      <a:pt x="12700" y="1270"/>
                                      <a:pt x="41275" y="2540"/>
                                      <a:pt x="69215" y="6985"/>
                                    </a:cubicBezTo>
                                    <a:cubicBezTo>
                                      <a:pt x="97155" y="11430"/>
                                      <a:pt x="110490" y="16510"/>
                                      <a:pt x="138430" y="20955"/>
                                    </a:cubicBezTo>
                                    <a:cubicBezTo>
                                      <a:pt x="166370" y="25400"/>
                                      <a:pt x="179705" y="23495"/>
                                      <a:pt x="207645" y="27940"/>
                                    </a:cubicBezTo>
                                    <a:cubicBezTo>
                                      <a:pt x="235585" y="32385"/>
                                      <a:pt x="248920" y="31115"/>
                                      <a:pt x="276860" y="41910"/>
                                    </a:cubicBezTo>
                                    <a:cubicBezTo>
                                      <a:pt x="304800" y="52705"/>
                                      <a:pt x="318135" y="67945"/>
                                      <a:pt x="346075" y="83185"/>
                                    </a:cubicBezTo>
                                    <a:cubicBezTo>
                                      <a:pt x="374015" y="98425"/>
                                      <a:pt x="387350" y="100330"/>
                                      <a:pt x="415290" y="118110"/>
                                    </a:cubicBezTo>
                                    <a:cubicBezTo>
                                      <a:pt x="443230" y="135890"/>
                                      <a:pt x="456565" y="154305"/>
                                      <a:pt x="484505" y="173355"/>
                                    </a:cubicBezTo>
                                    <a:cubicBezTo>
                                      <a:pt x="512445" y="192405"/>
                                      <a:pt x="525780" y="191135"/>
                                      <a:pt x="553720" y="214630"/>
                                    </a:cubicBezTo>
                                    <a:cubicBezTo>
                                      <a:pt x="581660" y="238125"/>
                                      <a:pt x="605790" y="261620"/>
                                      <a:pt x="623570" y="290830"/>
                                    </a:cubicBezTo>
                                    <a:cubicBezTo>
                                      <a:pt x="641350" y="320040"/>
                                      <a:pt x="638175" y="330835"/>
                                      <a:pt x="643890" y="360045"/>
                                    </a:cubicBezTo>
                                    <a:cubicBezTo>
                                      <a:pt x="649605" y="389255"/>
                                      <a:pt x="648335" y="407035"/>
                                      <a:pt x="650875" y="436245"/>
                                    </a:cubicBezTo>
                                    <a:cubicBezTo>
                                      <a:pt x="653415" y="465455"/>
                                      <a:pt x="657860" y="478155"/>
                                      <a:pt x="657860" y="506095"/>
                                    </a:cubicBezTo>
                                    <a:cubicBezTo>
                                      <a:pt x="657860" y="534035"/>
                                      <a:pt x="655320" y="547370"/>
                                      <a:pt x="650875" y="575310"/>
                                    </a:cubicBezTo>
                                    <a:cubicBezTo>
                                      <a:pt x="646430" y="603250"/>
                                      <a:pt x="645160" y="616585"/>
                                      <a:pt x="636905" y="644525"/>
                                    </a:cubicBezTo>
                                    <a:cubicBezTo>
                                      <a:pt x="628650" y="672465"/>
                                      <a:pt x="626110" y="684530"/>
                                      <a:pt x="609600" y="713740"/>
                                    </a:cubicBezTo>
                                    <a:cubicBezTo>
                                      <a:pt x="593090" y="742950"/>
                                      <a:pt x="578485" y="762000"/>
                                      <a:pt x="553720" y="789940"/>
                                    </a:cubicBezTo>
                                    <a:cubicBezTo>
                                      <a:pt x="528955" y="817880"/>
                                      <a:pt x="510540" y="826135"/>
                                      <a:pt x="484505" y="852170"/>
                                    </a:cubicBezTo>
                                    <a:cubicBezTo>
                                      <a:pt x="458470" y="878205"/>
                                      <a:pt x="448310" y="892175"/>
                                      <a:pt x="422275" y="921385"/>
                                    </a:cubicBezTo>
                                    <a:cubicBezTo>
                                      <a:pt x="396240" y="950595"/>
                                      <a:pt x="377825" y="968375"/>
                                      <a:pt x="353060" y="997585"/>
                                    </a:cubicBezTo>
                                    <a:cubicBezTo>
                                      <a:pt x="328295" y="1026795"/>
                                      <a:pt x="320040" y="1038860"/>
                                      <a:pt x="297815" y="1066800"/>
                                    </a:cubicBezTo>
                                    <a:cubicBezTo>
                                      <a:pt x="275590" y="1094740"/>
                                      <a:pt x="267335" y="1109980"/>
                                      <a:pt x="242570" y="1136015"/>
                                    </a:cubicBezTo>
                                    <a:cubicBezTo>
                                      <a:pt x="217805" y="1162050"/>
                                      <a:pt x="200660" y="1174750"/>
                                      <a:pt x="172720" y="1198245"/>
                                    </a:cubicBezTo>
                                    <a:cubicBezTo>
                                      <a:pt x="144780" y="1221740"/>
                                      <a:pt x="131445" y="1234440"/>
                                      <a:pt x="103505" y="1254125"/>
                                    </a:cubicBezTo>
                                    <a:cubicBezTo>
                                      <a:pt x="75565" y="1273810"/>
                                      <a:pt x="46990" y="1288415"/>
                                      <a:pt x="34290" y="129540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id="_x0000_s1026" o:spid="_x0000_s1026" o:spt="100" style="position:absolute;left:0pt;margin-left:77.75pt;margin-top:5.3pt;height:102pt;width:51.8pt;z-index:251662336;mso-width-relative:page;mso-height-relative:page;" filled="f" stroked="t" coordsize="657860,1295400" o:gfxdata="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" path="m0,0c12700,1270,41275,2540,69215,6985c97155,11430,110490,16510,138430,20955c166370,25400,179705,23495,207645,27940c235585,32385,248920,31115,276860,41910c304800,52705,318135,67945,346075,83185c374015,98425,387350,100330,415290,118110c443230,135890,456565,154305,484505,173355c512445,192405,525780,191135,553720,214630c581660,238125,605790,261620,623570,290830c641350,320040,638175,330835,643890,360045c649605,389255,648335,407035,650875,436245c653415,465455,657860,478155,657860,506095c657860,534035,655320,547370,650875,575310c646430,603250,645160,616585,636905,644525c628650,672465,626110,684530,609600,713740c593090,742950,578485,762000,553720,789940c528955,817880,510540,826135,484505,852170c458470,878205,448310,892175,422275,921385c396240,950595,377825,968375,353060,997585c328295,1026795,320040,1038860,297815,1066800c275590,1094740,267335,1109980,242570,1136015c217805,1162050,200660,1174750,172720,1198245c144780,1221740,131445,1234440,103505,1254125c75565,1273810,46990,1288415,34290,1295400e">
                      <v:path o:connectlocs="0,0;69215,6985;138430,20955;207645,27940;276860,41910;346075,83185;415290,118110;484505,173355;553720,214630;623570,290830;643890,360045;650875,436245;657860,506095;650875,575310;636905,644525;609600,713740;553720,789940;484505,852170;422275,921385;353060,997585;297815,1066800;242570,1136015;172720,1198245;103505,1254125;34290,1295400" o:connectangles="0,0,0,0,0,0,0,0,0,0,0,0,0,0,0,0,0,0,0,0,0,0,0,0,0"/>
                      <v:fill on="f" focussize="0,0"/>
                      <v:stroke weight="2pt" color="#385D8A [3204]" joinstyle="round"/>
                      <v:imagedata o:title=""/>
                      <o:lock v:ext="edit" aspectratio="f"/>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column">
                        <wp:posOffset>987425</wp:posOffset>
                      </wp:positionH>
                      <wp:positionV relativeFrom="paragraph">
                        <wp:posOffset>95250</wp:posOffset>
                      </wp:positionV>
                      <wp:extent cx="372110" cy="450215"/>
                      <wp:effectExtent l="2540" t="12065" r="21590" b="25400"/>
                      <wp:wrapNone/>
                      <wp:docPr id="3" name="任意多边形 3"/>
                      <wp:cNvGraphicFramePr/>
                      <a:graphic xmlns:a="http://schemas.openxmlformats.org/drawingml/2006/main">
                        <a:graphicData uri="http://schemas.microsoft.com/office/word/2010/wordprocessingShape">
                          <wps:wsp>
                            <wps:cNvSpPr/>
                            <wps:spPr>
                              <a:xfrm>
                                <a:off x="3015615" y="5380990"/>
                                <a:ext cx="372110" cy="450215"/>
                              </a:xfrm>
                              <a:custGeom>
                                <a:avLst/>
                                <a:gdLst>
                                  <a:gd name="connisteX0" fmla="*/ 34290 w 371886"/>
                                  <a:gd name="connsiteY0" fmla="*/ 0 h 450215"/>
                                  <a:gd name="connisteX1" fmla="*/ 110490 w 371886"/>
                                  <a:gd name="connsiteY1" fmla="*/ 27305 h 450215"/>
                                  <a:gd name="connisteX2" fmla="*/ 179705 w 371886"/>
                                  <a:gd name="connsiteY2" fmla="*/ 48260 h 450215"/>
                                  <a:gd name="connisteX3" fmla="*/ 248920 w 371886"/>
                                  <a:gd name="connsiteY3" fmla="*/ 83185 h 450215"/>
                                  <a:gd name="connisteX4" fmla="*/ 318770 w 371886"/>
                                  <a:gd name="connsiteY4" fmla="*/ 124460 h 450215"/>
                                  <a:gd name="connisteX5" fmla="*/ 367030 w 371886"/>
                                  <a:gd name="connsiteY5" fmla="*/ 193675 h 450215"/>
                                  <a:gd name="connisteX6" fmla="*/ 367030 w 371886"/>
                                  <a:gd name="connsiteY6" fmla="*/ 262890 h 450215"/>
                                  <a:gd name="connisteX7" fmla="*/ 353060 w 371886"/>
                                  <a:gd name="connsiteY7" fmla="*/ 332105 h 450215"/>
                                  <a:gd name="connisteX8" fmla="*/ 283845 w 371886"/>
                                  <a:gd name="connsiteY8" fmla="*/ 381000 h 450215"/>
                                  <a:gd name="connisteX9" fmla="*/ 214630 w 371886"/>
                                  <a:gd name="connsiteY9" fmla="*/ 401955 h 450215"/>
                                  <a:gd name="connisteX10" fmla="*/ 145415 w 371886"/>
                                  <a:gd name="connsiteY10" fmla="*/ 422275 h 450215"/>
                                  <a:gd name="connisteX11" fmla="*/ 76200 w 371886"/>
                                  <a:gd name="connsiteY11" fmla="*/ 436245 h 450215"/>
                                  <a:gd name="connisteX12" fmla="*/ 0 w 371886"/>
                                  <a:gd name="connsiteY12" fmla="*/ 450215 h 450215"/>
                                </a:gdLst>
                                <a:ahLst/>
                                <a:cxnLst>
                                  <a:cxn ang="0">
                                    <a:pos x="connisteX0" y="connsiteY0"/>
                                  </a:cxn>
                                  <a:cxn ang="0">
                                    <a:pos x="connisteX1" y="connsiteY1"/>
                                  </a:cxn>
                                  <a:cxn ang="0">
                                    <a:pos x="connisteX2" y="connsiteY2"/>
                                  </a:cxn>
                                  <a:cxn ang="0">
                                    <a:pos x="connisteX3" y="connsiteY3"/>
                                  </a:cxn>
                                  <a:cxn ang="0">
                                    <a:pos x="connisteX4" y="connsiteY4"/>
                                  </a:cxn>
                                  <a:cxn ang="0">
                                    <a:pos x="connisteX5" y="connsiteY5"/>
                                  </a:cxn>
                                  <a:cxn ang="0">
                                    <a:pos x="connisteX6" y="connsiteY6"/>
                                  </a:cxn>
                                  <a:cxn ang="0">
                                    <a:pos x="connisteX7" y="connsiteY7"/>
                                  </a:cxn>
                                  <a:cxn ang="0">
                                    <a:pos x="connisteX8" y="connsiteY8"/>
                                  </a:cxn>
                                  <a:cxn ang="0">
                                    <a:pos x="connisteX9" y="connsiteY9"/>
                                  </a:cxn>
                                  <a:cxn ang="0">
                                    <a:pos x="connisteX10" y="connsiteY10"/>
                                  </a:cxn>
                                  <a:cxn ang="0">
                                    <a:pos x="connisteX11" y="connsiteY11"/>
                                  </a:cxn>
                                  <a:cxn ang="0">
                                    <a:pos x="connisteX12" y="connsiteY12"/>
                                  </a:cxn>
                                </a:cxnLst>
                                <a:rect l="l" t="t" r="r" b="b"/>
                                <a:pathLst>
                                  <a:path w="371886" h="450215">
                                    <a:moveTo>
                                      <a:pt x="34290" y="0"/>
                                    </a:moveTo>
                                    <a:cubicBezTo>
                                      <a:pt x="48260" y="5080"/>
                                      <a:pt x="81280" y="17780"/>
                                      <a:pt x="110490" y="27305"/>
                                    </a:cubicBezTo>
                                    <a:cubicBezTo>
                                      <a:pt x="139700" y="36830"/>
                                      <a:pt x="151765" y="36830"/>
                                      <a:pt x="179705" y="48260"/>
                                    </a:cubicBezTo>
                                    <a:cubicBezTo>
                                      <a:pt x="207645" y="59690"/>
                                      <a:pt x="220980" y="67945"/>
                                      <a:pt x="248920" y="83185"/>
                                    </a:cubicBezTo>
                                    <a:cubicBezTo>
                                      <a:pt x="276860" y="98425"/>
                                      <a:pt x="295275" y="102235"/>
                                      <a:pt x="318770" y="124460"/>
                                    </a:cubicBezTo>
                                    <a:cubicBezTo>
                                      <a:pt x="342265" y="146685"/>
                                      <a:pt x="357505" y="165735"/>
                                      <a:pt x="367030" y="193675"/>
                                    </a:cubicBezTo>
                                    <a:cubicBezTo>
                                      <a:pt x="376555" y="221615"/>
                                      <a:pt x="369570" y="234950"/>
                                      <a:pt x="367030" y="262890"/>
                                    </a:cubicBezTo>
                                    <a:cubicBezTo>
                                      <a:pt x="364490" y="290830"/>
                                      <a:pt x="369570" y="308610"/>
                                      <a:pt x="353060" y="332105"/>
                                    </a:cubicBezTo>
                                    <a:cubicBezTo>
                                      <a:pt x="336550" y="355600"/>
                                      <a:pt x="311785" y="367030"/>
                                      <a:pt x="283845" y="381000"/>
                                    </a:cubicBezTo>
                                    <a:cubicBezTo>
                                      <a:pt x="255905" y="394970"/>
                                      <a:pt x="242570" y="393700"/>
                                      <a:pt x="214630" y="401955"/>
                                    </a:cubicBezTo>
                                    <a:cubicBezTo>
                                      <a:pt x="186690" y="410210"/>
                                      <a:pt x="173355" y="415290"/>
                                      <a:pt x="145415" y="422275"/>
                                    </a:cubicBezTo>
                                    <a:cubicBezTo>
                                      <a:pt x="117475" y="429260"/>
                                      <a:pt x="105410" y="430530"/>
                                      <a:pt x="76200" y="436245"/>
                                    </a:cubicBezTo>
                                    <a:cubicBezTo>
                                      <a:pt x="46990" y="441960"/>
                                      <a:pt x="13970" y="447675"/>
                                      <a:pt x="0" y="450215"/>
                                    </a:cubicBezTo>
                                  </a:path>
                                </a:pathLst>
                              </a:custGeom>
                              <a:no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id="_x0000_s1026" o:spid="_x0000_s1026" o:spt="100" style="position:absolute;left:0pt;margin-left:77.75pt;margin-top:7.5pt;height:35.45pt;width:29.3pt;z-index:251660288;mso-width-relative:page;mso-height-relative:page;" filled="f" stroked="t" coordsize="371886,450215" o:gfxdata="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A7vkTZ1AAAAAkBAAAPAAAAAAAAAAEAIAAAACIAAABkcnMvZG93bnJldi54bWxQSwECFAAU&#10;AAAACACHTuJA8HKPvxMFAACtEQAADgAAAAAAAAABACAAAAAjAQAAZHJzL2Uyb0RvYy54bWxQSwUG&#10;AAAAAAYABgBZAQAAqAgAAAAA&#10;" path="m34290,0c48260,5080,81280,17780,110490,27305c139700,36830,151765,36830,179705,48260c207645,59690,220980,67945,248920,83185c276860,98425,295275,102235,318770,124460c342265,146685,357505,165735,367030,193675c376555,221615,369570,234950,367030,262890c364490,290830,369570,308610,353060,332105c336550,355600,311785,367030,283845,381000c255905,394970,242570,393700,214630,401955c186690,410210,173355,415290,145415,422275c117475,429260,105410,430530,76200,436245c46990,441960,13970,447675,0,450215e">
                      <v:path o:connectlocs="34310,0;110556,27305;179813,48260;249069,83185;318962,124460;367251,193675;367251,262890;353272,332105;284015,381000;214759,401955;145502,422275;76245,436245;0,450215" o:connectangles="0,0,0,0,0,0,0,0,0,0,0,0,0"/>
                      <v:fill on="f" focussize="0,0"/>
                      <v:stroke weight="2pt" color="#FFFF00 [3204]" joinstyle="round"/>
                      <v:imagedata o:title=""/>
                      <o:lock v:ext="edit" aspectratio="f"/>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column">
                        <wp:posOffset>973455</wp:posOffset>
                      </wp:positionH>
                      <wp:positionV relativeFrom="paragraph">
                        <wp:posOffset>84455</wp:posOffset>
                      </wp:positionV>
                      <wp:extent cx="236855" cy="253365"/>
                      <wp:effectExtent l="0" t="12700" r="22225" b="23495"/>
                      <wp:wrapNone/>
                      <wp:docPr id="1" name="任意多边形 1"/>
                      <wp:cNvGraphicFramePr/>
                      <a:graphic xmlns:a="http://schemas.openxmlformats.org/drawingml/2006/main">
                        <a:graphicData uri="http://schemas.microsoft.com/office/word/2010/wordprocessingShape">
                          <wps:wsp>
                            <wps:cNvSpPr/>
                            <wps:spPr>
                              <a:xfrm>
                                <a:off x="3001645" y="5370195"/>
                                <a:ext cx="236855" cy="253365"/>
                              </a:xfrm>
                              <a:custGeom>
                                <a:avLst/>
                                <a:gdLst>
                                  <a:gd name="connisteX0" fmla="*/ 0 w 236814"/>
                                  <a:gd name="connsiteY0" fmla="*/ 3668 h 253223"/>
                                  <a:gd name="connisteX1" fmla="*/ 69215 w 236814"/>
                                  <a:gd name="connsiteY1" fmla="*/ 3668 h 253223"/>
                                  <a:gd name="connisteX2" fmla="*/ 138430 w 236814"/>
                                  <a:gd name="connsiteY2" fmla="*/ 3668 h 253223"/>
                                  <a:gd name="connisteX3" fmla="*/ 207645 w 236814"/>
                                  <a:gd name="connsiteY3" fmla="*/ 44943 h 253223"/>
                                  <a:gd name="connisteX4" fmla="*/ 235585 w 236814"/>
                                  <a:gd name="connsiteY4" fmla="*/ 114158 h 253223"/>
                                  <a:gd name="connisteX5" fmla="*/ 221615 w 236814"/>
                                  <a:gd name="connsiteY5" fmla="*/ 184008 h 253223"/>
                                  <a:gd name="connisteX6" fmla="*/ 152400 w 236814"/>
                                  <a:gd name="connsiteY6" fmla="*/ 211313 h 253223"/>
                                  <a:gd name="connisteX7" fmla="*/ 83185 w 236814"/>
                                  <a:gd name="connsiteY7" fmla="*/ 232268 h 253223"/>
                                  <a:gd name="connisteX8" fmla="*/ 13970 w 236814"/>
                                  <a:gd name="connsiteY8" fmla="*/ 253223 h 253223"/>
                                </a:gdLst>
                                <a:ahLst/>
                                <a:cxnLst>
                                  <a:cxn ang="0">
                                    <a:pos x="connisteX0" y="connsiteY0"/>
                                  </a:cxn>
                                  <a:cxn ang="0">
                                    <a:pos x="connisteX1" y="connsiteY1"/>
                                  </a:cxn>
                                  <a:cxn ang="0">
                                    <a:pos x="connisteX2" y="connsiteY2"/>
                                  </a:cxn>
                                  <a:cxn ang="0">
                                    <a:pos x="connisteX3" y="connsiteY3"/>
                                  </a:cxn>
                                  <a:cxn ang="0">
                                    <a:pos x="connisteX4" y="connsiteY4"/>
                                  </a:cxn>
                                  <a:cxn ang="0">
                                    <a:pos x="connisteX5" y="connsiteY5"/>
                                  </a:cxn>
                                  <a:cxn ang="0">
                                    <a:pos x="connisteX6" y="connsiteY6"/>
                                  </a:cxn>
                                  <a:cxn ang="0">
                                    <a:pos x="connisteX7" y="connsiteY7"/>
                                  </a:cxn>
                                  <a:cxn ang="0">
                                    <a:pos x="connisteX8" y="connsiteY8"/>
                                  </a:cxn>
                                </a:cxnLst>
                                <a:rect l="l" t="t" r="r" b="b"/>
                                <a:pathLst>
                                  <a:path w="236815" h="253224">
                                    <a:moveTo>
                                      <a:pt x="0" y="3669"/>
                                    </a:moveTo>
                                    <a:cubicBezTo>
                                      <a:pt x="12700" y="3669"/>
                                      <a:pt x="41275" y="3669"/>
                                      <a:pt x="69215" y="3669"/>
                                    </a:cubicBezTo>
                                    <a:cubicBezTo>
                                      <a:pt x="97155" y="3669"/>
                                      <a:pt x="110490" y="-4586"/>
                                      <a:pt x="138430" y="3669"/>
                                    </a:cubicBezTo>
                                    <a:cubicBezTo>
                                      <a:pt x="166370" y="11924"/>
                                      <a:pt x="187960" y="22719"/>
                                      <a:pt x="207645" y="44944"/>
                                    </a:cubicBezTo>
                                    <a:cubicBezTo>
                                      <a:pt x="227330" y="67169"/>
                                      <a:pt x="233045" y="86219"/>
                                      <a:pt x="235585" y="114159"/>
                                    </a:cubicBezTo>
                                    <a:cubicBezTo>
                                      <a:pt x="238125" y="142099"/>
                                      <a:pt x="238125" y="164324"/>
                                      <a:pt x="221615" y="184009"/>
                                    </a:cubicBezTo>
                                    <a:cubicBezTo>
                                      <a:pt x="205105" y="203694"/>
                                      <a:pt x="180340" y="201789"/>
                                      <a:pt x="152400" y="211314"/>
                                    </a:cubicBezTo>
                                    <a:cubicBezTo>
                                      <a:pt x="124460" y="220839"/>
                                      <a:pt x="111125" y="224014"/>
                                      <a:pt x="83185" y="232269"/>
                                    </a:cubicBezTo>
                                    <a:cubicBezTo>
                                      <a:pt x="55245" y="240524"/>
                                      <a:pt x="26670" y="249414"/>
                                      <a:pt x="13970" y="253224"/>
                                    </a:cubicBezTo>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id="_x0000_s1026" o:spid="_x0000_s1026" o:spt="100" style="position:absolute;left:0pt;margin-left:76.65pt;margin-top:6.65pt;height:19.95pt;width:18.65pt;z-index:251658240;mso-width-relative:page;mso-height-relative:page;" filled="f" stroked="t" coordsize="236815,253224" o:gfxdata="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" path="m0,3669c12700,3669,41275,3669,69215,3669c97155,3669,110490,-4586,138430,3669c166370,11924,187960,22719,207645,44944c227330,67169,233045,86219,235585,114159c238125,142099,238125,164324,221615,184009c205105,203694,180340,201789,152400,211314c124460,220839,111125,224014,83185,232269c55245,240524,26670,249414,13970,253224e">
                      <v:path o:connectlocs="0,3670;69226,3670;138453,3670;207680,44968;235625,114222;221653,184111;152426,211431;83199,232398;13972,253365" o:connectangles="0,0,0,0,0,0,0,0,0"/>
                      <v:fill on="f" focussize="0,0"/>
                      <v:stroke weight="2pt" color="#FF0000 [3204]" joinstyle="round"/>
                      <v:imagedata o:title=""/>
                      <o:lock v:ext="edit" aspectratio="f"/>
                    </v:shape>
                  </w:pict>
                </mc:Fallback>
              </mc:AlternateContent>
            </w:r>
            <w:r>
              <w:rPr>
                <w:rFonts w:hint="eastAsia" w:eastAsia="宋体" w:cs="v5.0.0"/>
                <w:lang w:val="en-US" w:eastAsia="zh-CN"/>
              </w:rPr>
              <w:t>17</w:t>
            </w:r>
          </w:p>
        </w:tc>
        <w:tc>
          <w:tcPr>
            <w:tcW w:w="3455" w:type="dxa"/>
          </w:tcPr>
          <w:p>
            <w:pPr>
              <w:pStyle w:val="33"/>
              <w:rPr>
                <w:rFonts w:hint="default" w:eastAsia="宋体" w:cs="Arial"/>
                <w:lang w:val="en-US" w:eastAsia="zh-CN"/>
              </w:rPr>
            </w:pPr>
            <w:r>
              <w:rPr>
                <w:sz w:val="18"/>
              </w:rPr>
              <mc:AlternateContent>
                <mc:Choice Requires="wps">
                  <w:drawing>
                    <wp:anchor distT="0" distB="0" distL="114300" distR="114300" simplePos="0" relativeHeight="251663360" behindDoc="0" locked="0" layoutInCell="1" allowOverlap="1">
                      <wp:simplePos x="0" y="0"/>
                      <wp:positionH relativeFrom="column">
                        <wp:posOffset>1078865</wp:posOffset>
                      </wp:positionH>
                      <wp:positionV relativeFrom="paragraph">
                        <wp:posOffset>116205</wp:posOffset>
                      </wp:positionV>
                      <wp:extent cx="487680" cy="1219200"/>
                      <wp:effectExtent l="5715" t="11430" r="24765" b="19050"/>
                      <wp:wrapNone/>
                      <wp:docPr id="6" name="任意多边形 6"/>
                      <wp:cNvGraphicFramePr/>
                      <a:graphic xmlns:a="http://schemas.openxmlformats.org/drawingml/2006/main">
                        <a:graphicData uri="http://schemas.microsoft.com/office/word/2010/wordprocessingShape">
                          <wps:wsp>
                            <wps:cNvSpPr/>
                            <wps:spPr>
                              <a:xfrm>
                                <a:off x="4996815" y="5401945"/>
                                <a:ext cx="487680" cy="1219200"/>
                              </a:xfrm>
                              <a:custGeom>
                                <a:avLst/>
                                <a:gdLst>
                                  <a:gd name="connisteX0" fmla="*/ 0 w 487609"/>
                                  <a:gd name="connsiteY0" fmla="*/ 0 h 1219200"/>
                                  <a:gd name="connisteX1" fmla="*/ 69215 w 487609"/>
                                  <a:gd name="connsiteY1" fmla="*/ 34290 h 1219200"/>
                                  <a:gd name="connisteX2" fmla="*/ 145415 w 487609"/>
                                  <a:gd name="connsiteY2" fmla="*/ 69215 h 1219200"/>
                                  <a:gd name="connisteX3" fmla="*/ 221615 w 487609"/>
                                  <a:gd name="connsiteY3" fmla="*/ 124460 h 1219200"/>
                                  <a:gd name="connisteX4" fmla="*/ 290830 w 487609"/>
                                  <a:gd name="connsiteY4" fmla="*/ 179705 h 1219200"/>
                                  <a:gd name="connisteX5" fmla="*/ 346075 w 487609"/>
                                  <a:gd name="connsiteY5" fmla="*/ 248920 h 1219200"/>
                                  <a:gd name="connisteX6" fmla="*/ 401955 w 487609"/>
                                  <a:gd name="connsiteY6" fmla="*/ 318135 h 1219200"/>
                                  <a:gd name="connisteX7" fmla="*/ 429260 w 487609"/>
                                  <a:gd name="connsiteY7" fmla="*/ 387350 h 1219200"/>
                                  <a:gd name="connisteX8" fmla="*/ 457200 w 487609"/>
                                  <a:gd name="connsiteY8" fmla="*/ 457200 h 1219200"/>
                                  <a:gd name="connisteX9" fmla="*/ 471170 w 487609"/>
                                  <a:gd name="connsiteY9" fmla="*/ 526415 h 1219200"/>
                                  <a:gd name="connisteX10" fmla="*/ 478155 w 487609"/>
                                  <a:gd name="connsiteY10" fmla="*/ 595630 h 1219200"/>
                                  <a:gd name="connisteX11" fmla="*/ 484505 w 487609"/>
                                  <a:gd name="connsiteY11" fmla="*/ 664845 h 1219200"/>
                                  <a:gd name="connisteX12" fmla="*/ 484505 w 487609"/>
                                  <a:gd name="connsiteY12" fmla="*/ 741045 h 1219200"/>
                                  <a:gd name="connisteX13" fmla="*/ 484505 w 487609"/>
                                  <a:gd name="connsiteY13" fmla="*/ 817245 h 1219200"/>
                                  <a:gd name="connisteX14" fmla="*/ 450215 w 487609"/>
                                  <a:gd name="connsiteY14" fmla="*/ 886460 h 1219200"/>
                                  <a:gd name="connisteX15" fmla="*/ 394970 w 487609"/>
                                  <a:gd name="connsiteY15" fmla="*/ 955675 h 1219200"/>
                                  <a:gd name="connisteX16" fmla="*/ 325755 w 487609"/>
                                  <a:gd name="connsiteY16" fmla="*/ 1010920 h 1219200"/>
                                  <a:gd name="connisteX17" fmla="*/ 255905 w 487609"/>
                                  <a:gd name="connsiteY17" fmla="*/ 1066800 h 1219200"/>
                                  <a:gd name="connisteX18" fmla="*/ 186690 w 487609"/>
                                  <a:gd name="connsiteY18" fmla="*/ 1122045 h 1219200"/>
                                  <a:gd name="connisteX19" fmla="*/ 117475 w 487609"/>
                                  <a:gd name="connsiteY19" fmla="*/ 1184275 h 1219200"/>
                                  <a:gd name="connisteX20" fmla="*/ 48260 w 487609"/>
                                  <a:gd name="connsiteY20" fmla="*/ 1219200 h 1219200"/>
                                </a:gdLst>
                                <a:ahLst/>
                                <a:cxnLst>
                                  <a:cxn ang="0">
                                    <a:pos x="connisteX0" y="connsiteY0"/>
                                  </a:cxn>
                                  <a:cxn ang="0">
                                    <a:pos x="connisteX1" y="connsiteY1"/>
                                  </a:cxn>
                                  <a:cxn ang="0">
                                    <a:pos x="connisteX2" y="connsiteY2"/>
                                  </a:cxn>
                                  <a:cxn ang="0">
                                    <a:pos x="connisteX3" y="connsiteY3"/>
                                  </a:cxn>
                                  <a:cxn ang="0">
                                    <a:pos x="connisteX4" y="connsiteY4"/>
                                  </a:cxn>
                                  <a:cxn ang="0">
                                    <a:pos x="connisteX5" y="connsiteY5"/>
                                  </a:cxn>
                                  <a:cxn ang="0">
                                    <a:pos x="connisteX6" y="connsiteY6"/>
                                  </a:cxn>
                                  <a:cxn ang="0">
                                    <a:pos x="connisteX7" y="connsiteY7"/>
                                  </a:cxn>
                                  <a:cxn ang="0">
                                    <a:pos x="connisteX8" y="connsiteY8"/>
                                  </a:cxn>
                                  <a:cxn ang="0">
                                    <a:pos x="connisteX9" y="connsiteY9"/>
                                  </a:cxn>
                                  <a:cxn ang="0">
                                    <a:pos x="connisteX10" y="connsiteY10"/>
                                  </a:cxn>
                                  <a:cxn ang="0">
                                    <a:pos x="connisteX11" y="connsiteY11"/>
                                  </a:cxn>
                                  <a:cxn ang="0">
                                    <a:pos x="connisteX12" y="connsiteY12"/>
                                  </a:cxn>
                                  <a:cxn ang="0">
                                    <a:pos x="connisteX13" y="connsiteY13"/>
                                  </a:cxn>
                                  <a:cxn ang="0">
                                    <a:pos x="connisteX14" y="connsiteY14"/>
                                  </a:cxn>
                                  <a:cxn ang="0">
                                    <a:pos x="connisteX15" y="connsiteY15"/>
                                  </a:cxn>
                                  <a:cxn ang="0">
                                    <a:pos x="connisteX16" y="connsiteY16"/>
                                  </a:cxn>
                                  <a:cxn ang="0">
                                    <a:pos x="connisteX17" y="connsiteY17"/>
                                  </a:cxn>
                                  <a:cxn ang="0">
                                    <a:pos x="connisteX18" y="connsiteY18"/>
                                  </a:cxn>
                                  <a:cxn ang="0">
                                    <a:pos x="connisteX19" y="connsiteY19"/>
                                  </a:cxn>
                                  <a:cxn ang="0">
                                    <a:pos x="connisteX20" y="connsiteY20"/>
                                  </a:cxn>
                                </a:cxnLst>
                                <a:rect l="l" t="t" r="r" b="b"/>
                                <a:pathLst>
                                  <a:path w="487609" h="1219200">
                                    <a:moveTo>
                                      <a:pt x="0" y="0"/>
                                    </a:moveTo>
                                    <a:cubicBezTo>
                                      <a:pt x="12065" y="6350"/>
                                      <a:pt x="40005" y="20320"/>
                                      <a:pt x="69215" y="34290"/>
                                    </a:cubicBezTo>
                                    <a:cubicBezTo>
                                      <a:pt x="98425" y="48260"/>
                                      <a:pt x="114935" y="51435"/>
                                      <a:pt x="145415" y="69215"/>
                                    </a:cubicBezTo>
                                    <a:cubicBezTo>
                                      <a:pt x="175895" y="86995"/>
                                      <a:pt x="192405" y="102235"/>
                                      <a:pt x="221615" y="124460"/>
                                    </a:cubicBezTo>
                                    <a:cubicBezTo>
                                      <a:pt x="250825" y="146685"/>
                                      <a:pt x="266065" y="154940"/>
                                      <a:pt x="290830" y="179705"/>
                                    </a:cubicBezTo>
                                    <a:cubicBezTo>
                                      <a:pt x="315595" y="204470"/>
                                      <a:pt x="323850" y="220980"/>
                                      <a:pt x="346075" y="248920"/>
                                    </a:cubicBezTo>
                                    <a:cubicBezTo>
                                      <a:pt x="368300" y="276860"/>
                                      <a:pt x="385445" y="290195"/>
                                      <a:pt x="401955" y="318135"/>
                                    </a:cubicBezTo>
                                    <a:cubicBezTo>
                                      <a:pt x="418465" y="346075"/>
                                      <a:pt x="418465" y="359410"/>
                                      <a:pt x="429260" y="387350"/>
                                    </a:cubicBezTo>
                                    <a:cubicBezTo>
                                      <a:pt x="440055" y="415290"/>
                                      <a:pt x="448945" y="429260"/>
                                      <a:pt x="457200" y="457200"/>
                                    </a:cubicBezTo>
                                    <a:cubicBezTo>
                                      <a:pt x="465455" y="485140"/>
                                      <a:pt x="466725" y="498475"/>
                                      <a:pt x="471170" y="526415"/>
                                    </a:cubicBezTo>
                                    <a:cubicBezTo>
                                      <a:pt x="475615" y="554355"/>
                                      <a:pt x="475615" y="567690"/>
                                      <a:pt x="478155" y="595630"/>
                                    </a:cubicBezTo>
                                    <a:cubicBezTo>
                                      <a:pt x="480695" y="623570"/>
                                      <a:pt x="483235" y="635635"/>
                                      <a:pt x="484505" y="664845"/>
                                    </a:cubicBezTo>
                                    <a:cubicBezTo>
                                      <a:pt x="485775" y="694055"/>
                                      <a:pt x="484505" y="710565"/>
                                      <a:pt x="484505" y="741045"/>
                                    </a:cubicBezTo>
                                    <a:cubicBezTo>
                                      <a:pt x="484505" y="771525"/>
                                      <a:pt x="491490" y="788035"/>
                                      <a:pt x="484505" y="817245"/>
                                    </a:cubicBezTo>
                                    <a:cubicBezTo>
                                      <a:pt x="477520" y="846455"/>
                                      <a:pt x="467995" y="858520"/>
                                      <a:pt x="450215" y="886460"/>
                                    </a:cubicBezTo>
                                    <a:cubicBezTo>
                                      <a:pt x="432435" y="914400"/>
                                      <a:pt x="419735" y="930910"/>
                                      <a:pt x="394970" y="955675"/>
                                    </a:cubicBezTo>
                                    <a:cubicBezTo>
                                      <a:pt x="370205" y="980440"/>
                                      <a:pt x="353695" y="988695"/>
                                      <a:pt x="325755" y="1010920"/>
                                    </a:cubicBezTo>
                                    <a:cubicBezTo>
                                      <a:pt x="297815" y="1033145"/>
                                      <a:pt x="283845" y="1044575"/>
                                      <a:pt x="255905" y="1066800"/>
                                    </a:cubicBezTo>
                                    <a:cubicBezTo>
                                      <a:pt x="227965" y="1089025"/>
                                      <a:pt x="214630" y="1098550"/>
                                      <a:pt x="186690" y="1122045"/>
                                    </a:cubicBezTo>
                                    <a:cubicBezTo>
                                      <a:pt x="158750" y="1145540"/>
                                      <a:pt x="145415" y="1164590"/>
                                      <a:pt x="117475" y="1184275"/>
                                    </a:cubicBezTo>
                                    <a:cubicBezTo>
                                      <a:pt x="89535" y="1203960"/>
                                      <a:pt x="60960" y="1213485"/>
                                      <a:pt x="48260" y="121920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id="_x0000_s1026" o:spid="_x0000_s1026" o:spt="100" style="position:absolute;left:0pt;margin-left:84.95pt;margin-top:9.15pt;height:96pt;width:38.4pt;z-index:251663360;mso-width-relative:page;mso-height-relative:page;" filled="f" stroked="t" coordsize="487609,1219200" o:gfxdata="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" path="m0,0c12065,6350,40005,20320,69215,34290c98425,48260,114935,51435,145415,69215c175895,86995,192405,102235,221615,124460c250825,146685,266065,154940,290830,179705c315595,204470,323850,220980,346075,248920c368300,276860,385445,290195,401955,318135c418465,346075,418465,359410,429260,387350c440055,415290,448945,429260,457200,457200c465455,485140,466725,498475,471170,526415c475615,554355,475615,567690,478155,595630c480695,623570,483235,635635,484505,664845c485775,694055,484505,710565,484505,741045c484505,771525,491490,788035,484505,817245c477520,846455,467995,858520,450215,886460c432435,914400,419735,930910,394970,955675c370205,980440,353695,988695,325755,1010920c297815,1033145,283845,1044575,255905,1066800c227965,1089025,214630,1098550,186690,1122045c158750,1145540,145415,1164590,117475,1184275c89535,1203960,60960,1213485,48260,1219200e">
                      <v:path o:connectlocs="0,0;69225,34290;145436,69215;221647,124460;290872,179705;346125,248920;402013,318135;429322,387350;457266,457200;471238,526415;478224,595630;484575,664845;484575,741045;484575,817245;450280,886460;395027,955675;325802,1010920;255942,1066800;186717,1122045;117492,1184275;48267,1219200" o:connectangles="0,0,0,0,0,0,0,0,0,0,0,0,0,0,0,0,0,0,0,0,0"/>
                      <v:fill on="f" focussize="0,0"/>
                      <v:stroke weight="2pt" color="#385D8A [3204]" joinstyle="round"/>
                      <v:imagedata o:title=""/>
                      <o:lock v:ext="edit" aspectratio="f"/>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column">
                        <wp:posOffset>1099820</wp:posOffset>
                      </wp:positionH>
                      <wp:positionV relativeFrom="paragraph">
                        <wp:posOffset>129540</wp:posOffset>
                      </wp:positionV>
                      <wp:extent cx="341630" cy="762000"/>
                      <wp:effectExtent l="3175" t="12065" r="20955" b="18415"/>
                      <wp:wrapNone/>
                      <wp:docPr id="4" name="任意多边形 4"/>
                      <wp:cNvGraphicFramePr/>
                      <a:graphic xmlns:a="http://schemas.openxmlformats.org/drawingml/2006/main">
                        <a:graphicData uri="http://schemas.microsoft.com/office/word/2010/wordprocessingShape">
                          <wps:wsp>
                            <wps:cNvSpPr/>
                            <wps:spPr>
                              <a:xfrm>
                                <a:off x="5017770" y="5415280"/>
                                <a:ext cx="341630" cy="762000"/>
                              </a:xfrm>
                              <a:custGeom>
                                <a:avLst/>
                                <a:gdLst>
                                  <a:gd name="connisteX0" fmla="*/ 0 w 341379"/>
                                  <a:gd name="connsiteY0" fmla="*/ 0 h 762000"/>
                                  <a:gd name="connisteX1" fmla="*/ 69215 w 341379"/>
                                  <a:gd name="connsiteY1" fmla="*/ 20955 h 762000"/>
                                  <a:gd name="connisteX2" fmla="*/ 138430 w 341379"/>
                                  <a:gd name="connsiteY2" fmla="*/ 55880 h 762000"/>
                                  <a:gd name="connisteX3" fmla="*/ 207645 w 341379"/>
                                  <a:gd name="connsiteY3" fmla="*/ 97155 h 762000"/>
                                  <a:gd name="connisteX4" fmla="*/ 269875 w 341379"/>
                                  <a:gd name="connsiteY4" fmla="*/ 166370 h 762000"/>
                                  <a:gd name="connisteX5" fmla="*/ 318135 w 341379"/>
                                  <a:gd name="connsiteY5" fmla="*/ 235585 h 762000"/>
                                  <a:gd name="connisteX6" fmla="*/ 339090 w 341379"/>
                                  <a:gd name="connsiteY6" fmla="*/ 304800 h 762000"/>
                                  <a:gd name="connisteX7" fmla="*/ 339090 w 341379"/>
                                  <a:gd name="connsiteY7" fmla="*/ 374015 h 762000"/>
                                  <a:gd name="connisteX8" fmla="*/ 332105 w 341379"/>
                                  <a:gd name="connsiteY8" fmla="*/ 443865 h 762000"/>
                                  <a:gd name="connisteX9" fmla="*/ 297815 w 341379"/>
                                  <a:gd name="connsiteY9" fmla="*/ 513080 h 762000"/>
                                  <a:gd name="connisteX10" fmla="*/ 262890 w 341379"/>
                                  <a:gd name="connsiteY10" fmla="*/ 582295 h 762000"/>
                                  <a:gd name="connisteX11" fmla="*/ 241935 w 341379"/>
                                  <a:gd name="connsiteY11" fmla="*/ 651510 h 762000"/>
                                  <a:gd name="connisteX12" fmla="*/ 172720 w 341379"/>
                                  <a:gd name="connsiteY12" fmla="*/ 706755 h 762000"/>
                                  <a:gd name="connisteX13" fmla="*/ 103505 w 341379"/>
                                  <a:gd name="connsiteY13" fmla="*/ 741680 h 762000"/>
                                  <a:gd name="connisteX14" fmla="*/ 34290 w 341379"/>
                                  <a:gd name="connsiteY14" fmla="*/ 762000 h 762000"/>
                                </a:gdLst>
                                <a:ahLst/>
                                <a:cxnLst>
                                  <a:cxn ang="0">
                                    <a:pos x="connisteX0" y="connsiteY0"/>
                                  </a:cxn>
                                  <a:cxn ang="0">
                                    <a:pos x="connisteX1" y="connsiteY1"/>
                                  </a:cxn>
                                  <a:cxn ang="0">
                                    <a:pos x="connisteX2" y="connsiteY2"/>
                                  </a:cxn>
                                  <a:cxn ang="0">
                                    <a:pos x="connisteX3" y="connsiteY3"/>
                                  </a:cxn>
                                  <a:cxn ang="0">
                                    <a:pos x="connisteX4" y="connsiteY4"/>
                                  </a:cxn>
                                  <a:cxn ang="0">
                                    <a:pos x="connisteX5" y="connsiteY5"/>
                                  </a:cxn>
                                  <a:cxn ang="0">
                                    <a:pos x="connisteX6" y="connsiteY6"/>
                                  </a:cxn>
                                  <a:cxn ang="0">
                                    <a:pos x="connisteX7" y="connsiteY7"/>
                                  </a:cxn>
                                  <a:cxn ang="0">
                                    <a:pos x="connisteX8" y="connsiteY8"/>
                                  </a:cxn>
                                  <a:cxn ang="0">
                                    <a:pos x="connisteX9" y="connsiteY9"/>
                                  </a:cxn>
                                  <a:cxn ang="0">
                                    <a:pos x="connisteX10" y="connsiteY10"/>
                                  </a:cxn>
                                  <a:cxn ang="0">
                                    <a:pos x="connisteX11" y="connsiteY11"/>
                                  </a:cxn>
                                  <a:cxn ang="0">
                                    <a:pos x="connisteX12" y="connsiteY12"/>
                                  </a:cxn>
                                  <a:cxn ang="0">
                                    <a:pos x="connisteX13" y="connsiteY13"/>
                                  </a:cxn>
                                  <a:cxn ang="0">
                                    <a:pos x="connisteX14" y="connsiteY14"/>
                                  </a:cxn>
                                </a:cxnLst>
                                <a:rect l="l" t="t" r="r" b="b"/>
                                <a:pathLst>
                                  <a:path w="341379" h="762000">
                                    <a:moveTo>
                                      <a:pt x="0" y="0"/>
                                    </a:moveTo>
                                    <a:cubicBezTo>
                                      <a:pt x="12700" y="3175"/>
                                      <a:pt x="41275" y="9525"/>
                                      <a:pt x="69215" y="20955"/>
                                    </a:cubicBezTo>
                                    <a:cubicBezTo>
                                      <a:pt x="97155" y="32385"/>
                                      <a:pt x="110490" y="40640"/>
                                      <a:pt x="138430" y="55880"/>
                                    </a:cubicBezTo>
                                    <a:cubicBezTo>
                                      <a:pt x="166370" y="71120"/>
                                      <a:pt x="181610" y="74930"/>
                                      <a:pt x="207645" y="97155"/>
                                    </a:cubicBezTo>
                                    <a:cubicBezTo>
                                      <a:pt x="233680" y="119380"/>
                                      <a:pt x="247650" y="138430"/>
                                      <a:pt x="269875" y="166370"/>
                                    </a:cubicBezTo>
                                    <a:cubicBezTo>
                                      <a:pt x="292100" y="194310"/>
                                      <a:pt x="304165" y="207645"/>
                                      <a:pt x="318135" y="235585"/>
                                    </a:cubicBezTo>
                                    <a:cubicBezTo>
                                      <a:pt x="332105" y="263525"/>
                                      <a:pt x="334645" y="276860"/>
                                      <a:pt x="339090" y="304800"/>
                                    </a:cubicBezTo>
                                    <a:cubicBezTo>
                                      <a:pt x="343535" y="332740"/>
                                      <a:pt x="340360" y="346075"/>
                                      <a:pt x="339090" y="374015"/>
                                    </a:cubicBezTo>
                                    <a:cubicBezTo>
                                      <a:pt x="337820" y="401955"/>
                                      <a:pt x="340360" y="415925"/>
                                      <a:pt x="332105" y="443865"/>
                                    </a:cubicBezTo>
                                    <a:cubicBezTo>
                                      <a:pt x="323850" y="471805"/>
                                      <a:pt x="311785" y="485140"/>
                                      <a:pt x="297815" y="513080"/>
                                    </a:cubicBezTo>
                                    <a:cubicBezTo>
                                      <a:pt x="283845" y="541020"/>
                                      <a:pt x="274320" y="554355"/>
                                      <a:pt x="262890" y="582295"/>
                                    </a:cubicBezTo>
                                    <a:cubicBezTo>
                                      <a:pt x="251460" y="610235"/>
                                      <a:pt x="259715" y="626745"/>
                                      <a:pt x="241935" y="651510"/>
                                    </a:cubicBezTo>
                                    <a:cubicBezTo>
                                      <a:pt x="224155" y="676275"/>
                                      <a:pt x="200660" y="688975"/>
                                      <a:pt x="172720" y="706755"/>
                                    </a:cubicBezTo>
                                    <a:cubicBezTo>
                                      <a:pt x="144780" y="724535"/>
                                      <a:pt x="131445" y="730885"/>
                                      <a:pt x="103505" y="741680"/>
                                    </a:cubicBezTo>
                                    <a:cubicBezTo>
                                      <a:pt x="75565" y="752475"/>
                                      <a:pt x="46990" y="758825"/>
                                      <a:pt x="34290" y="762000"/>
                                    </a:cubicBezTo>
                                  </a:path>
                                </a:pathLst>
                              </a:custGeom>
                              <a:no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id="_x0000_s1026" o:spid="_x0000_s1026" o:spt="100" style="position:absolute;left:0pt;margin-left:86.6pt;margin-top:10.2pt;height:60pt;width:26.9pt;z-index:251661312;mso-width-relative:page;mso-height-relative:page;" filled="f" stroked="t" coordsize="341379,762000" o:gfxdata="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" path="m0,0c12700,3175,41275,9525,69215,20955c97155,32385,110490,40640,138430,55880c166370,71120,181610,74930,207645,97155c233680,119380,247650,138430,269875,166370c292100,194310,304165,207645,318135,235585c332105,263525,334645,276860,339090,304800c343535,332740,340360,346075,339090,374015c337820,401955,340360,415925,332105,443865c323850,471805,311785,485140,297815,513080c283845,541020,274320,554355,262890,582295c251460,610235,259715,626745,241935,651510c224155,676275,200660,688975,172720,706755c144780,724535,131445,730885,103505,741680c75565,752475,46990,758825,34290,762000e">
                      <v:path o:connectlocs="0,0;69265,20955;138531,55880;207797,97155;270073,166370;318368,235585;339339,304800;339339,374015;332349,443865;298033,513080;263083,582295;242112,651510;172846,706755;103581,741680;34315,762000" o:connectangles="0,0,0,0,0,0,0,0,0,0,0,0,0,0,0"/>
                      <v:fill on="f" focussize="0,0"/>
                      <v:stroke weight="2pt" color="#FFFF00 [3204]" joinstyle="round"/>
                      <v:imagedata o:title=""/>
                      <o:lock v:ext="edit" aspectratio="f"/>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column">
                        <wp:posOffset>1092835</wp:posOffset>
                      </wp:positionH>
                      <wp:positionV relativeFrom="paragraph">
                        <wp:posOffset>109220</wp:posOffset>
                      </wp:positionV>
                      <wp:extent cx="224155" cy="401320"/>
                      <wp:effectExtent l="7620" t="10160" r="27305" b="15240"/>
                      <wp:wrapNone/>
                      <wp:docPr id="2" name="任意多边形 2"/>
                      <wp:cNvGraphicFramePr/>
                      <a:graphic xmlns:a="http://schemas.openxmlformats.org/drawingml/2006/main">
                        <a:graphicData uri="http://schemas.microsoft.com/office/word/2010/wordprocessingShape">
                          <wps:wsp>
                            <wps:cNvSpPr/>
                            <wps:spPr>
                              <a:xfrm>
                                <a:off x="5010785" y="5394960"/>
                                <a:ext cx="224155" cy="401320"/>
                              </a:xfrm>
                              <a:custGeom>
                                <a:avLst/>
                                <a:gdLst>
                                  <a:gd name="connisteX0" fmla="*/ 0 w 224238"/>
                                  <a:gd name="connsiteY0" fmla="*/ 0 h 401320"/>
                                  <a:gd name="connisteX1" fmla="*/ 69215 w 224238"/>
                                  <a:gd name="connsiteY1" fmla="*/ 48260 h 401320"/>
                                  <a:gd name="connisteX2" fmla="*/ 138430 w 224238"/>
                                  <a:gd name="connsiteY2" fmla="*/ 89535 h 401320"/>
                                  <a:gd name="connisteX3" fmla="*/ 207645 w 224238"/>
                                  <a:gd name="connsiteY3" fmla="*/ 152400 h 401320"/>
                                  <a:gd name="connisteX4" fmla="*/ 221615 w 224238"/>
                                  <a:gd name="connsiteY4" fmla="*/ 221615 h 401320"/>
                                  <a:gd name="connisteX5" fmla="*/ 179705 w 224238"/>
                                  <a:gd name="connsiteY5" fmla="*/ 290830 h 401320"/>
                                  <a:gd name="connisteX6" fmla="*/ 124460 w 224238"/>
                                  <a:gd name="connsiteY6" fmla="*/ 360045 h 401320"/>
                                  <a:gd name="connisteX7" fmla="*/ 55245 w 224238"/>
                                  <a:gd name="connsiteY7" fmla="*/ 401320 h 401320"/>
                                </a:gdLst>
                                <a:ahLst/>
                                <a:cxnLst>
                                  <a:cxn ang="0">
                                    <a:pos x="connisteX0" y="connsiteY0"/>
                                  </a:cxn>
                                  <a:cxn ang="0">
                                    <a:pos x="connisteX1" y="connsiteY1"/>
                                  </a:cxn>
                                  <a:cxn ang="0">
                                    <a:pos x="connisteX2" y="connsiteY2"/>
                                  </a:cxn>
                                  <a:cxn ang="0">
                                    <a:pos x="connisteX3" y="connsiteY3"/>
                                  </a:cxn>
                                  <a:cxn ang="0">
                                    <a:pos x="connisteX4" y="connsiteY4"/>
                                  </a:cxn>
                                  <a:cxn ang="0">
                                    <a:pos x="connisteX5" y="connsiteY5"/>
                                  </a:cxn>
                                  <a:cxn ang="0">
                                    <a:pos x="connisteX6" y="connsiteY6"/>
                                  </a:cxn>
                                  <a:cxn ang="0">
                                    <a:pos x="connisteX7" y="connsiteY7"/>
                                  </a:cxn>
                                </a:cxnLst>
                                <a:rect l="l" t="t" r="r" b="b"/>
                                <a:pathLst>
                                  <a:path w="224238" h="401320">
                                    <a:moveTo>
                                      <a:pt x="0" y="0"/>
                                    </a:moveTo>
                                    <a:cubicBezTo>
                                      <a:pt x="12700" y="8890"/>
                                      <a:pt x="41275" y="30480"/>
                                      <a:pt x="69215" y="48260"/>
                                    </a:cubicBezTo>
                                    <a:cubicBezTo>
                                      <a:pt x="97155" y="66040"/>
                                      <a:pt x="110490" y="68580"/>
                                      <a:pt x="138430" y="89535"/>
                                    </a:cubicBezTo>
                                    <a:cubicBezTo>
                                      <a:pt x="166370" y="110490"/>
                                      <a:pt x="191135" y="125730"/>
                                      <a:pt x="207645" y="152400"/>
                                    </a:cubicBezTo>
                                    <a:cubicBezTo>
                                      <a:pt x="224155" y="179070"/>
                                      <a:pt x="227330" y="193675"/>
                                      <a:pt x="221615" y="221615"/>
                                    </a:cubicBezTo>
                                    <a:cubicBezTo>
                                      <a:pt x="215900" y="249555"/>
                                      <a:pt x="199390" y="262890"/>
                                      <a:pt x="179705" y="290830"/>
                                    </a:cubicBezTo>
                                    <a:cubicBezTo>
                                      <a:pt x="160020" y="318770"/>
                                      <a:pt x="149225" y="337820"/>
                                      <a:pt x="124460" y="360045"/>
                                    </a:cubicBezTo>
                                    <a:cubicBezTo>
                                      <a:pt x="99695" y="382270"/>
                                      <a:pt x="67945" y="394335"/>
                                      <a:pt x="55245" y="401320"/>
                                    </a:cubicBezTo>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id="_x0000_s1026" o:spid="_x0000_s1026" o:spt="100" style="position:absolute;left:0pt;margin-left:86.05pt;margin-top:8.6pt;height:31.6pt;width:17.65pt;z-index:251659264;mso-width-relative:page;mso-height-relative:page;" filled="f" stroked="t" coordsize="224238,401320" o:gfxdata="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" path="m0,0c12700,8890,41275,30480,69215,48260c97155,66040,110490,68580,138430,89535c166370,110490,191135,125730,207645,152400c224155,179070,227330,193675,221615,221615c215900,249555,199390,262890,179705,290830c160020,318770,149225,337820,124460,360045c99695,382270,67945,394335,55245,401320e">
                      <v:path o:connectlocs="0,0;69189,48260;138378,89535;207568,152400;221532,221615;179638,290830;124413,360045;55224,401320" o:connectangles="0,0,0,0,0,0,0,0"/>
                      <v:fill on="f" focussize="0,0"/>
                      <v:stroke weight="2pt" color="#FF0000 [3204]" joinstyle="round"/>
                      <v:imagedata o:title=""/>
                      <o:lock v:ext="edit" aspectratio="f"/>
                    </v:shape>
                  </w:pict>
                </mc:Fallback>
              </mc:AlternateContent>
            </w:r>
            <w:r>
              <w:rPr>
                <w:rFonts w:hint="eastAsia" w:eastAsia="宋体" w:cs="Arial"/>
                <w:lang w:val="en-US" w:eastAsia="zh-CN"/>
              </w:rPr>
              <w:t>90</w:t>
            </w:r>
          </w:p>
        </w:tc>
        <w:tc>
          <w:tcPr>
            <w:tcW w:w="1430" w:type="dxa"/>
          </w:tcPr>
          <w:p>
            <w:pPr>
              <w:pStyle w:val="33"/>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33"/>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Pr>
          <w:p>
            <w:pPr>
              <w:pStyle w:val="33"/>
              <w:rPr>
                <w:rFonts w:cs="v5.0.0"/>
              </w:rPr>
            </w:pPr>
            <w:r>
              <w:rPr>
                <w:rFonts w:hint="eastAsia" w:eastAsia="宋体" w:cs="v5.0.0"/>
                <w:lang w:val="en-US" w:eastAsia="zh-CN"/>
              </w:rPr>
              <w:t>-14</w:t>
            </w:r>
            <w:r>
              <w:rPr>
                <w:rFonts w:cs="v5.0.0"/>
              </w:rPr>
              <w:t xml:space="preserve"> </w:t>
            </w:r>
          </w:p>
        </w:tc>
        <w:tc>
          <w:tcPr>
            <w:tcW w:w="3455" w:type="dxa"/>
          </w:tcPr>
          <w:p>
            <w:pPr>
              <w:pStyle w:val="33"/>
              <w:rPr>
                <w:rFonts w:cs="Arial"/>
              </w:rPr>
            </w:pPr>
          </w:p>
        </w:tc>
        <w:tc>
          <w:tcPr>
            <w:tcW w:w="1430" w:type="dxa"/>
          </w:tcPr>
          <w:p>
            <w:pPr>
              <w:pStyle w:val="33"/>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33"/>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vAlign w:val="center"/>
          </w:tcPr>
          <w:p>
            <w:pPr>
              <w:pStyle w:val="33"/>
              <w:rPr>
                <w:rFonts w:hint="default" w:cs="Arial"/>
                <w:lang w:val="en-US" w:eastAsia="zh-CN"/>
              </w:rPr>
            </w:pPr>
            <w:r>
              <w:rPr>
                <w:rFonts w:hint="eastAsia" w:cs="Arial"/>
                <w:lang w:val="en-US" w:eastAsia="zh-CN"/>
              </w:rPr>
              <w:t>-26</w:t>
            </w:r>
          </w:p>
        </w:tc>
        <w:tc>
          <w:tcPr>
            <w:tcW w:w="3455" w:type="dxa"/>
          </w:tcPr>
          <w:p>
            <w:pPr>
              <w:pStyle w:val="33"/>
              <w:rPr>
                <w:rFonts w:hint="default" w:eastAsia="宋体" w:cs="Arial"/>
                <w:lang w:val="en-US" w:eastAsia="zh-CN"/>
              </w:rPr>
            </w:pPr>
            <w:r>
              <w:rPr>
                <w:rFonts w:hint="eastAsia" w:eastAsia="宋体" w:cs="Arial"/>
                <w:lang w:val="en-US" w:eastAsia="zh-CN"/>
              </w:rPr>
              <w:t>60</w:t>
            </w:r>
          </w:p>
        </w:tc>
        <w:tc>
          <w:tcPr>
            <w:tcW w:w="1430" w:type="dxa"/>
          </w:tcPr>
          <w:p>
            <w:pPr>
              <w:pStyle w:val="33"/>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33"/>
              <w:rPr>
                <w:rFonts w:cs="v5.0.0"/>
              </w:rPr>
            </w:pPr>
            <w:r>
              <w:rPr>
                <w:rFonts w:cs="v5.0.0"/>
              </w:rPr>
              <w:t>(Note 4)</w:t>
            </w:r>
          </w:p>
        </w:tc>
        <w:tc>
          <w:tcPr>
            <w:tcW w:w="2976" w:type="dxa"/>
          </w:tcPr>
          <w:p>
            <w:pPr>
              <w:pStyle w:val="33"/>
              <w:rPr>
                <w:rFonts w:cs="Arial"/>
              </w:rPr>
            </w:pPr>
            <w:r>
              <w:rPr>
                <w:rFonts w:hint="eastAsia" w:cs="Arial"/>
                <w:lang w:val="en-US" w:eastAsia="zh-CN"/>
              </w:rPr>
              <w:t>-26</w:t>
            </w:r>
            <w:r>
              <w:rPr>
                <w:rFonts w:cs="Arial"/>
              </w:rPr>
              <w:t xml:space="preserve"> </w:t>
            </w:r>
          </w:p>
        </w:tc>
        <w:tc>
          <w:tcPr>
            <w:tcW w:w="3455" w:type="dxa"/>
          </w:tcPr>
          <w:p>
            <w:pPr>
              <w:pStyle w:val="33"/>
              <w:rPr>
                <w:rFonts w:hint="default" w:eastAsia="宋体" w:cs="Arial"/>
                <w:lang w:val="en-US" w:eastAsia="zh-CN"/>
              </w:rPr>
            </w:pPr>
            <w:r>
              <w:rPr>
                <w:rFonts w:hint="eastAsia" w:eastAsia="宋体" w:cs="Arial"/>
                <w:lang w:val="en-US" w:eastAsia="zh-CN"/>
              </w:rPr>
              <w:t>45</w:t>
            </w:r>
          </w:p>
        </w:tc>
        <w:tc>
          <w:tcPr>
            <w:tcW w:w="1430" w:type="dxa"/>
          </w:tcPr>
          <w:p>
            <w:pPr>
              <w:pStyle w:val="33"/>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33"/>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pPr>
              <w:pStyle w:val="33"/>
              <w:rPr>
                <w:rFonts w:cs="v5.0.0"/>
                <w:lang w:val="fr-FR"/>
              </w:rPr>
            </w:pPr>
            <w:r>
              <w:rPr>
                <w:rFonts w:cs="Arial"/>
                <w:lang w:val="fr-FR"/>
              </w:rPr>
              <w:t xml:space="preserve">min( 10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vAlign w:val="center"/>
          </w:tcPr>
          <w:p>
            <w:pPr>
              <w:pStyle w:val="33"/>
              <w:rPr>
                <w:rFonts w:hint="default" w:cs="Arial"/>
                <w:lang w:val="en-US" w:eastAsia="zh-CN"/>
              </w:rPr>
            </w:pPr>
            <w:r>
              <w:rPr>
                <w:rFonts w:hint="eastAsia" w:cs="Arial"/>
                <w:lang w:val="en-US" w:eastAsia="zh-CN"/>
              </w:rPr>
              <w:t>-28.2</w:t>
            </w:r>
          </w:p>
        </w:tc>
        <w:tc>
          <w:tcPr>
            <w:tcW w:w="3455" w:type="dxa"/>
          </w:tcPr>
          <w:p>
            <w:pPr>
              <w:pStyle w:val="33"/>
              <w:rPr>
                <w:rFonts w:hint="default" w:eastAsia="宋体" w:cs="Arial"/>
                <w:lang w:val="en-US" w:eastAsia="zh-CN"/>
              </w:rPr>
            </w:pPr>
            <w:r>
              <w:rPr>
                <w:rFonts w:hint="eastAsia" w:eastAsia="宋体" w:cs="Arial"/>
                <w:lang w:val="en-US" w:eastAsia="zh-CN"/>
              </w:rPr>
              <w:t>45</w:t>
            </w:r>
          </w:p>
        </w:tc>
        <w:tc>
          <w:tcPr>
            <w:tcW w:w="1430" w:type="dxa"/>
          </w:tcPr>
          <w:p>
            <w:pPr>
              <w:pStyle w:val="33"/>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33"/>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33"/>
              <w:rPr>
                <w:rFonts w:cs="Arial"/>
              </w:rPr>
            </w:pPr>
            <w:r>
              <w:rPr>
                <w:rFonts w:hint="eastAsia" w:cs="Arial"/>
                <w:lang w:val="en-US" w:eastAsia="zh-CN"/>
              </w:rPr>
              <w:t>-30.2</w:t>
            </w:r>
            <w:r>
              <w:rPr>
                <w:rFonts w:cs="Arial"/>
              </w:rPr>
              <w:t xml:space="preserve"> </w:t>
            </w:r>
          </w:p>
        </w:tc>
        <w:tc>
          <w:tcPr>
            <w:tcW w:w="3455" w:type="dxa"/>
          </w:tcPr>
          <w:p>
            <w:pPr>
              <w:pStyle w:val="33"/>
              <w:rPr>
                <w:rFonts w:hint="default" w:eastAsia="宋体" w:cs="Arial"/>
                <w:lang w:val="en-US" w:eastAsia="zh-CN"/>
              </w:rPr>
            </w:pPr>
            <w:r>
              <w:rPr>
                <w:rFonts w:hint="eastAsia" w:eastAsia="宋体" w:cs="Arial"/>
                <w:lang w:val="en-US" w:eastAsia="zh-CN"/>
              </w:rPr>
              <w:t>35</w:t>
            </w:r>
          </w:p>
        </w:tc>
        <w:tc>
          <w:tcPr>
            <w:tcW w:w="1430" w:type="dxa"/>
          </w:tcPr>
          <w:p>
            <w:pPr>
              <w:pStyle w:val="33"/>
              <w:rPr>
                <w:rFonts w:cs="Arial"/>
              </w:rPr>
            </w:pPr>
            <w:r>
              <w:rPr>
                <w:rFonts w:cs="Arial"/>
              </w:rPr>
              <w:t xml:space="preserve">30 kHz </w:t>
            </w:r>
          </w:p>
        </w:tc>
      </w:tr>
    </w:tbl>
    <w:p>
      <w:pPr>
        <w:jc w:val="both"/>
        <w:rPr>
          <w:rFonts w:hint="eastAsia"/>
          <w:lang w:val="en-US" w:eastAsia="zh-CN"/>
        </w:rPr>
      </w:pPr>
    </w:p>
    <w:p>
      <w:pPr>
        <w:jc w:val="both"/>
        <w:rPr>
          <w:rFonts w:hint="default"/>
          <w:lang w:val="en-US" w:eastAsia="zh-CN"/>
        </w:rPr>
      </w:pPr>
      <w:r>
        <w:rPr>
          <w:rFonts w:hint="eastAsia"/>
          <w:lang w:val="en-US" w:eastAsia="zh-CN"/>
        </w:rPr>
        <w:t xml:space="preserve">To the follow the same approach as LTE based repeater or FR1 NR based repeater as analysis before to keep the similar offset between OBUE and OOBB limit at the different frequency offset. </w:t>
      </w:r>
    </w:p>
    <w:p>
      <w:pPr>
        <w:pStyle w:val="42"/>
      </w:pPr>
      <w:r>
        <w:t xml:space="preserve">Table 9.7.4.3.2-1: OBUE limits applicable </w:t>
      </w:r>
    </w:p>
    <w:tbl>
      <w:tblPr>
        <w:tblStyle w:val="21"/>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32"/>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552" w:type="dxa"/>
          </w:tcPr>
          <w:p>
            <w:pPr>
              <w:pStyle w:val="32"/>
              <w:rPr>
                <w:lang w:val="en-US"/>
              </w:rPr>
            </w:pPr>
            <w:r>
              <w:rPr>
                <w:rFonts w:hint="eastAsia" w:eastAsia="宋体" w:cs="Arial"/>
                <w:lang w:val="en-US" w:eastAsia="zh-CN"/>
              </w:rPr>
              <w:t>PSD at the freq edge in dBm</w:t>
            </w:r>
          </w:p>
        </w:tc>
        <w:tc>
          <w:tcPr>
            <w:tcW w:w="2551" w:type="dxa"/>
            <w:tcBorders>
              <w:top w:val="single" w:color="auto" w:sz="4" w:space="0"/>
              <w:left w:val="single" w:color="auto" w:sz="4" w:space="0"/>
              <w:bottom w:val="single" w:color="auto" w:sz="4" w:space="0"/>
              <w:right w:val="single" w:color="auto" w:sz="4" w:space="0"/>
            </w:tcBorders>
          </w:tcPr>
          <w:p>
            <w:pPr>
              <w:pStyle w:val="32"/>
              <w:rPr>
                <w:lang w:val="en-US"/>
              </w:rPr>
            </w:pPr>
            <w:r>
              <w:rPr>
                <w:lang w:val="en-US"/>
              </w:rPr>
              <w:t>Limit</w:t>
            </w:r>
          </w:p>
        </w:tc>
        <w:tc>
          <w:tcPr>
            <w:tcW w:w="1560" w:type="dxa"/>
            <w:tcBorders>
              <w:top w:val="single" w:color="auto" w:sz="4" w:space="0"/>
              <w:left w:val="single" w:color="auto" w:sz="4" w:space="0"/>
              <w:bottom w:val="single" w:color="auto" w:sz="4" w:space="0"/>
              <w:right w:val="single" w:color="auto" w:sz="4" w:space="0"/>
            </w:tcBorders>
          </w:tcPr>
          <w:p>
            <w:pPr>
              <w:pStyle w:val="32"/>
              <w:rPr>
                <w:i/>
                <w:lang w:val="en-US"/>
              </w:rPr>
            </w:pPr>
            <w:r>
              <w:rPr>
                <w:i/>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33"/>
              <w:rPr>
                <w:lang w:val="en-US"/>
              </w:rPr>
            </w:pPr>
            <w:r>
              <w:rPr>
                <w:rFonts w:hint="eastAsia" w:eastAsia="宋体" w:cs="v5.0.0"/>
                <w:lang w:val="en-US" w:eastAsia="zh-CN"/>
              </w:rPr>
              <w:t>In-band signal</w:t>
            </w:r>
          </w:p>
        </w:tc>
        <w:tc>
          <w:tcPr>
            <w:tcW w:w="2552" w:type="dxa"/>
          </w:tcPr>
          <w:p>
            <w:pPr>
              <w:pStyle w:val="33"/>
              <w:rPr>
                <w:rFonts w:hint="default" w:eastAsia="宋体"/>
                <w:lang w:val="en-US" w:eastAsia="zh-CN"/>
              </w:rPr>
            </w:pPr>
            <w:r>
              <w:rPr>
                <w:sz w:val="18"/>
              </w:rPr>
              <mc:AlternateContent>
                <mc:Choice Requires="wps">
                  <w:drawing>
                    <wp:anchor distT="0" distB="0" distL="114300" distR="114300" simplePos="0" relativeHeight="251668480" behindDoc="0" locked="0" layoutInCell="1" allowOverlap="1">
                      <wp:simplePos x="0" y="0"/>
                      <wp:positionH relativeFrom="column">
                        <wp:posOffset>904875</wp:posOffset>
                      </wp:positionH>
                      <wp:positionV relativeFrom="paragraph">
                        <wp:posOffset>76200</wp:posOffset>
                      </wp:positionV>
                      <wp:extent cx="527050" cy="727710"/>
                      <wp:effectExtent l="1905" t="12700" r="19685" b="21590"/>
                      <wp:wrapNone/>
                      <wp:docPr id="15" name="任意多边形 15"/>
                      <wp:cNvGraphicFramePr/>
                      <a:graphic xmlns:a="http://schemas.openxmlformats.org/drawingml/2006/main">
                        <a:graphicData uri="http://schemas.microsoft.com/office/word/2010/wordprocessingShape">
                          <wps:wsp>
                            <wps:cNvSpPr/>
                            <wps:spPr>
                              <a:xfrm>
                                <a:off x="3099435" y="5427980"/>
                                <a:ext cx="527050" cy="727710"/>
                              </a:xfrm>
                              <a:custGeom>
                                <a:avLst/>
                                <a:gdLst>
                                  <a:gd name="connisteX0" fmla="*/ 76200 w 527253"/>
                                  <a:gd name="connsiteY0" fmla="*/ 0 h 727710"/>
                                  <a:gd name="connisteX1" fmla="*/ 143510 w 527253"/>
                                  <a:gd name="connsiteY1" fmla="*/ 8255 h 727710"/>
                                  <a:gd name="connisteX2" fmla="*/ 211455 w 527253"/>
                                  <a:gd name="connsiteY2" fmla="*/ 33655 h 727710"/>
                                  <a:gd name="connisteX3" fmla="*/ 279400 w 527253"/>
                                  <a:gd name="connsiteY3" fmla="*/ 67310 h 727710"/>
                                  <a:gd name="connisteX4" fmla="*/ 355600 w 527253"/>
                                  <a:gd name="connsiteY4" fmla="*/ 127000 h 727710"/>
                                  <a:gd name="connisteX5" fmla="*/ 422910 w 527253"/>
                                  <a:gd name="connsiteY5" fmla="*/ 194310 h 727710"/>
                                  <a:gd name="connisteX6" fmla="*/ 465455 w 527253"/>
                                  <a:gd name="connsiteY6" fmla="*/ 262255 h 727710"/>
                                  <a:gd name="connisteX7" fmla="*/ 490855 w 527253"/>
                                  <a:gd name="connsiteY7" fmla="*/ 330200 h 727710"/>
                                  <a:gd name="connisteX8" fmla="*/ 516255 w 527253"/>
                                  <a:gd name="connsiteY8" fmla="*/ 397510 h 727710"/>
                                  <a:gd name="connisteX9" fmla="*/ 524510 w 527253"/>
                                  <a:gd name="connsiteY9" fmla="*/ 465455 h 727710"/>
                                  <a:gd name="connisteX10" fmla="*/ 524510 w 527253"/>
                                  <a:gd name="connsiteY10" fmla="*/ 533400 h 727710"/>
                                  <a:gd name="connisteX11" fmla="*/ 499110 w 527253"/>
                                  <a:gd name="connsiteY11" fmla="*/ 600710 h 727710"/>
                                  <a:gd name="connisteX12" fmla="*/ 431800 w 527253"/>
                                  <a:gd name="connsiteY12" fmla="*/ 635000 h 727710"/>
                                  <a:gd name="connisteX13" fmla="*/ 355600 w 527253"/>
                                  <a:gd name="connsiteY13" fmla="*/ 685800 h 727710"/>
                                  <a:gd name="connisteX14" fmla="*/ 270510 w 527253"/>
                                  <a:gd name="connsiteY14" fmla="*/ 719455 h 727710"/>
                                  <a:gd name="connisteX15" fmla="*/ 203200 w 527253"/>
                                  <a:gd name="connsiteY15" fmla="*/ 719455 h 727710"/>
                                  <a:gd name="connisteX16" fmla="*/ 135255 w 527253"/>
                                  <a:gd name="connsiteY16" fmla="*/ 719455 h 727710"/>
                                  <a:gd name="connisteX17" fmla="*/ 67310 w 527253"/>
                                  <a:gd name="connsiteY17" fmla="*/ 719455 h 727710"/>
                                  <a:gd name="connisteX18" fmla="*/ 0 w 527253"/>
                                  <a:gd name="connsiteY18" fmla="*/ 727710 h 727710"/>
                                </a:gdLst>
                                <a:ahLst/>
                                <a:cxnLst>
                                  <a:cxn ang="0">
                                    <a:pos x="connisteX0" y="connsiteY0"/>
                                  </a:cxn>
                                  <a:cxn ang="0">
                                    <a:pos x="connisteX1" y="connsiteY1"/>
                                  </a:cxn>
                                  <a:cxn ang="0">
                                    <a:pos x="connisteX2" y="connsiteY2"/>
                                  </a:cxn>
                                  <a:cxn ang="0">
                                    <a:pos x="connisteX3" y="connsiteY3"/>
                                  </a:cxn>
                                  <a:cxn ang="0">
                                    <a:pos x="connisteX4" y="connsiteY4"/>
                                  </a:cxn>
                                  <a:cxn ang="0">
                                    <a:pos x="connisteX5" y="connsiteY5"/>
                                  </a:cxn>
                                  <a:cxn ang="0">
                                    <a:pos x="connisteX6" y="connsiteY6"/>
                                  </a:cxn>
                                  <a:cxn ang="0">
                                    <a:pos x="connisteX7" y="connsiteY7"/>
                                  </a:cxn>
                                  <a:cxn ang="0">
                                    <a:pos x="connisteX8" y="connsiteY8"/>
                                  </a:cxn>
                                  <a:cxn ang="0">
                                    <a:pos x="connisteX9" y="connsiteY9"/>
                                  </a:cxn>
                                  <a:cxn ang="0">
                                    <a:pos x="connisteX10" y="connsiteY10"/>
                                  </a:cxn>
                                  <a:cxn ang="0">
                                    <a:pos x="connisteX11" y="connsiteY11"/>
                                  </a:cxn>
                                  <a:cxn ang="0">
                                    <a:pos x="connisteX12" y="connsiteY12"/>
                                  </a:cxn>
                                  <a:cxn ang="0">
                                    <a:pos x="connisteX13" y="connsiteY13"/>
                                  </a:cxn>
                                  <a:cxn ang="0">
                                    <a:pos x="connisteX14" y="connsiteY14"/>
                                  </a:cxn>
                                  <a:cxn ang="0">
                                    <a:pos x="connisteX15" y="connsiteY15"/>
                                  </a:cxn>
                                  <a:cxn ang="0">
                                    <a:pos x="connisteX16" y="connsiteY16"/>
                                  </a:cxn>
                                  <a:cxn ang="0">
                                    <a:pos x="connisteX17" y="connsiteY17"/>
                                  </a:cxn>
                                  <a:cxn ang="0">
                                    <a:pos x="connisteX18" y="connsiteY18"/>
                                  </a:cxn>
                                </a:cxnLst>
                                <a:rect l="l" t="t" r="r" b="b"/>
                                <a:pathLst>
                                  <a:path w="527253" h="727710">
                                    <a:moveTo>
                                      <a:pt x="76200" y="0"/>
                                    </a:moveTo>
                                    <a:cubicBezTo>
                                      <a:pt x="88265" y="1270"/>
                                      <a:pt x="116205" y="1270"/>
                                      <a:pt x="143510" y="8255"/>
                                    </a:cubicBezTo>
                                    <a:cubicBezTo>
                                      <a:pt x="170815" y="15240"/>
                                      <a:pt x="184150" y="21590"/>
                                      <a:pt x="211455" y="33655"/>
                                    </a:cubicBezTo>
                                    <a:cubicBezTo>
                                      <a:pt x="238760" y="45720"/>
                                      <a:pt x="250825" y="48895"/>
                                      <a:pt x="279400" y="67310"/>
                                    </a:cubicBezTo>
                                    <a:cubicBezTo>
                                      <a:pt x="307975" y="85725"/>
                                      <a:pt x="327025" y="101600"/>
                                      <a:pt x="355600" y="127000"/>
                                    </a:cubicBezTo>
                                    <a:cubicBezTo>
                                      <a:pt x="384175" y="152400"/>
                                      <a:pt x="400685" y="167005"/>
                                      <a:pt x="422910" y="194310"/>
                                    </a:cubicBezTo>
                                    <a:cubicBezTo>
                                      <a:pt x="445135" y="221615"/>
                                      <a:pt x="452120" y="234950"/>
                                      <a:pt x="465455" y="262255"/>
                                    </a:cubicBezTo>
                                    <a:cubicBezTo>
                                      <a:pt x="478790" y="289560"/>
                                      <a:pt x="480695" y="302895"/>
                                      <a:pt x="490855" y="330200"/>
                                    </a:cubicBezTo>
                                    <a:cubicBezTo>
                                      <a:pt x="501015" y="357505"/>
                                      <a:pt x="509270" y="370205"/>
                                      <a:pt x="516255" y="397510"/>
                                    </a:cubicBezTo>
                                    <a:cubicBezTo>
                                      <a:pt x="523240" y="424815"/>
                                      <a:pt x="522605" y="438150"/>
                                      <a:pt x="524510" y="465455"/>
                                    </a:cubicBezTo>
                                    <a:cubicBezTo>
                                      <a:pt x="526415" y="492760"/>
                                      <a:pt x="529590" y="506095"/>
                                      <a:pt x="524510" y="533400"/>
                                    </a:cubicBezTo>
                                    <a:cubicBezTo>
                                      <a:pt x="519430" y="560705"/>
                                      <a:pt x="517525" y="580390"/>
                                      <a:pt x="499110" y="600710"/>
                                    </a:cubicBezTo>
                                    <a:cubicBezTo>
                                      <a:pt x="480695" y="621030"/>
                                      <a:pt x="460375" y="617855"/>
                                      <a:pt x="431800" y="635000"/>
                                    </a:cubicBezTo>
                                    <a:cubicBezTo>
                                      <a:pt x="403225" y="652145"/>
                                      <a:pt x="387985" y="668655"/>
                                      <a:pt x="355600" y="685800"/>
                                    </a:cubicBezTo>
                                    <a:cubicBezTo>
                                      <a:pt x="323215" y="702945"/>
                                      <a:pt x="300990" y="712470"/>
                                      <a:pt x="270510" y="719455"/>
                                    </a:cubicBezTo>
                                    <a:cubicBezTo>
                                      <a:pt x="240030" y="726440"/>
                                      <a:pt x="230505" y="719455"/>
                                      <a:pt x="203200" y="719455"/>
                                    </a:cubicBezTo>
                                    <a:cubicBezTo>
                                      <a:pt x="175895" y="719455"/>
                                      <a:pt x="162560" y="719455"/>
                                      <a:pt x="135255" y="719455"/>
                                    </a:cubicBezTo>
                                    <a:cubicBezTo>
                                      <a:pt x="107950" y="719455"/>
                                      <a:pt x="94615" y="717550"/>
                                      <a:pt x="67310" y="719455"/>
                                    </a:cubicBezTo>
                                    <a:cubicBezTo>
                                      <a:pt x="40005" y="721360"/>
                                      <a:pt x="12065" y="725805"/>
                                      <a:pt x="0" y="727710"/>
                                    </a:cubicBezTo>
                                  </a:path>
                                </a:pathLst>
                              </a:custGeom>
                              <a:no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id="_x0000_s1026" o:spid="_x0000_s1026" o:spt="100" style="position:absolute;left:0pt;margin-left:71.25pt;margin-top:6pt;height:57.3pt;width:41.5pt;z-index:251668480;mso-width-relative:page;mso-height-relative:page;" filled="f" stroked="t" coordsize="527253,727710" o:gfxdata="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" path="m76200,0c88265,1270,116205,1270,143510,8255c170815,15240,184150,21590,211455,33655c238760,45720,250825,48895,279400,67310c307975,85725,327025,101600,355600,127000c384175,152400,400685,167005,422910,194310c445135,221615,452120,234950,465455,262255c478790,289560,480695,302895,490855,330200c501015,357505,509270,370205,516255,397510c523240,424815,522605,438150,524510,465455c526415,492760,529590,506095,524510,533400c519430,560705,517525,580390,499110,600710c480695,621030,460375,617855,431800,635000c403225,652145,387985,668655,355600,685800c323215,702945,300990,712470,270510,719455c240030,726440,230505,719455,203200,719455c175895,719455,162560,719455,135255,719455c107950,719455,94615,717550,67310,719455c40005,721360,12065,725805,0,727710e">
                      <v:path o:connectlocs="76170,0;143454,8255;211373,33655;279292,67310;355463,127000;422747,194310;465275,262255;490666,330200;516056,397510;524308,465455;524308,533400;498917,600710;431633,635000;355463,685800;270405,719455;203121,719455;135202,719455;67284,719455;0,727710" o:connectangles="0,0,0,0,0,0,0,0,0,0,0,0,0,0,0,0,0,0,0"/>
                      <v:fill on="f" focussize="0,0"/>
                      <v:stroke weight="2pt" color="#FFFF00 [3204]" joinstyle="round"/>
                      <v:imagedata o:title=""/>
                      <o:lock v:ext="edit" aspectratio="f"/>
                    </v:shape>
                  </w:pict>
                </mc:Fallback>
              </mc:AlternateContent>
            </w:r>
            <w:r>
              <w:rPr>
                <w:sz w:val="18"/>
              </w:rPr>
              <mc:AlternateContent>
                <mc:Choice Requires="wps">
                  <w:drawing>
                    <wp:anchor distT="0" distB="0" distL="114300" distR="114300" simplePos="0" relativeHeight="251666432" behindDoc="0" locked="0" layoutInCell="1" allowOverlap="1">
                      <wp:simplePos x="0" y="0"/>
                      <wp:positionH relativeFrom="column">
                        <wp:posOffset>836930</wp:posOffset>
                      </wp:positionH>
                      <wp:positionV relativeFrom="paragraph">
                        <wp:posOffset>67310</wp:posOffset>
                      </wp:positionV>
                      <wp:extent cx="369570" cy="406400"/>
                      <wp:effectExtent l="635" t="12065" r="26035" b="23495"/>
                      <wp:wrapNone/>
                      <wp:docPr id="13" name="任意多边形 13"/>
                      <wp:cNvGraphicFramePr/>
                      <a:graphic xmlns:a="http://schemas.openxmlformats.org/drawingml/2006/main">
                        <a:graphicData uri="http://schemas.microsoft.com/office/word/2010/wordprocessingShape">
                          <wps:wsp>
                            <wps:cNvSpPr/>
                            <wps:spPr>
                              <a:xfrm>
                                <a:off x="3031490" y="5419090"/>
                                <a:ext cx="369570" cy="406400"/>
                              </a:xfrm>
                              <a:custGeom>
                                <a:avLst/>
                                <a:gdLst>
                                  <a:gd name="connisteX0" fmla="*/ 76200 w 369666"/>
                                  <a:gd name="connsiteY0" fmla="*/ 0 h 406400"/>
                                  <a:gd name="connisteX1" fmla="*/ 152400 w 369666"/>
                                  <a:gd name="connsiteY1" fmla="*/ 25400 h 406400"/>
                                  <a:gd name="connisteX2" fmla="*/ 228600 w 369666"/>
                                  <a:gd name="connsiteY2" fmla="*/ 59690 h 406400"/>
                                  <a:gd name="connisteX3" fmla="*/ 304800 w 369666"/>
                                  <a:gd name="connsiteY3" fmla="*/ 101600 h 406400"/>
                                  <a:gd name="connisteX4" fmla="*/ 363855 w 369666"/>
                                  <a:gd name="connsiteY4" fmla="*/ 169545 h 406400"/>
                                  <a:gd name="connisteX5" fmla="*/ 363855 w 369666"/>
                                  <a:gd name="connsiteY5" fmla="*/ 237490 h 406400"/>
                                  <a:gd name="connisteX6" fmla="*/ 355600 w 369666"/>
                                  <a:gd name="connsiteY6" fmla="*/ 304800 h 406400"/>
                                  <a:gd name="connisteX7" fmla="*/ 279400 w 369666"/>
                                  <a:gd name="connsiteY7" fmla="*/ 330200 h 406400"/>
                                  <a:gd name="connisteX8" fmla="*/ 211455 w 369666"/>
                                  <a:gd name="connsiteY8" fmla="*/ 355600 h 406400"/>
                                  <a:gd name="connisteX9" fmla="*/ 144145 w 369666"/>
                                  <a:gd name="connsiteY9" fmla="*/ 372745 h 406400"/>
                                  <a:gd name="connisteX10" fmla="*/ 76200 w 369666"/>
                                  <a:gd name="connsiteY10" fmla="*/ 398145 h 406400"/>
                                  <a:gd name="connisteX11" fmla="*/ 0 w 369666"/>
                                  <a:gd name="connsiteY11" fmla="*/ 406400 h 406400"/>
                                </a:gdLst>
                                <a:ahLst/>
                                <a:cxnLst>
                                  <a:cxn ang="0">
                                    <a:pos x="connisteX0" y="connsiteY0"/>
                                  </a:cxn>
                                  <a:cxn ang="0">
                                    <a:pos x="connisteX1" y="connsiteY1"/>
                                  </a:cxn>
                                  <a:cxn ang="0">
                                    <a:pos x="connisteX2" y="connsiteY2"/>
                                  </a:cxn>
                                  <a:cxn ang="0">
                                    <a:pos x="connisteX3" y="connsiteY3"/>
                                  </a:cxn>
                                  <a:cxn ang="0">
                                    <a:pos x="connisteX4" y="connsiteY4"/>
                                  </a:cxn>
                                  <a:cxn ang="0">
                                    <a:pos x="connisteX5" y="connsiteY5"/>
                                  </a:cxn>
                                  <a:cxn ang="0">
                                    <a:pos x="connisteX6" y="connsiteY6"/>
                                  </a:cxn>
                                  <a:cxn ang="0">
                                    <a:pos x="connisteX7" y="connsiteY7"/>
                                  </a:cxn>
                                  <a:cxn ang="0">
                                    <a:pos x="connisteX8" y="connsiteY8"/>
                                  </a:cxn>
                                  <a:cxn ang="0">
                                    <a:pos x="connisteX9" y="connsiteY9"/>
                                  </a:cxn>
                                  <a:cxn ang="0">
                                    <a:pos x="connisteX10" y="connsiteY10"/>
                                  </a:cxn>
                                  <a:cxn ang="0">
                                    <a:pos x="connisteX11" y="connsiteY11"/>
                                  </a:cxn>
                                </a:cxnLst>
                                <a:rect l="l" t="t" r="r" b="b"/>
                                <a:pathLst>
                                  <a:path w="369666" h="406400">
                                    <a:moveTo>
                                      <a:pt x="76200" y="0"/>
                                    </a:moveTo>
                                    <a:cubicBezTo>
                                      <a:pt x="90170" y="4445"/>
                                      <a:pt x="121920" y="13335"/>
                                      <a:pt x="152400" y="25400"/>
                                    </a:cubicBezTo>
                                    <a:cubicBezTo>
                                      <a:pt x="182880" y="37465"/>
                                      <a:pt x="198120" y="44450"/>
                                      <a:pt x="228600" y="59690"/>
                                    </a:cubicBezTo>
                                    <a:cubicBezTo>
                                      <a:pt x="259080" y="74930"/>
                                      <a:pt x="277495" y="79375"/>
                                      <a:pt x="304800" y="101600"/>
                                    </a:cubicBezTo>
                                    <a:cubicBezTo>
                                      <a:pt x="332105" y="123825"/>
                                      <a:pt x="351790" y="142240"/>
                                      <a:pt x="363855" y="169545"/>
                                    </a:cubicBezTo>
                                    <a:cubicBezTo>
                                      <a:pt x="375920" y="196850"/>
                                      <a:pt x="365760" y="210185"/>
                                      <a:pt x="363855" y="237490"/>
                                    </a:cubicBezTo>
                                    <a:cubicBezTo>
                                      <a:pt x="361950" y="264795"/>
                                      <a:pt x="372745" y="286385"/>
                                      <a:pt x="355600" y="304800"/>
                                    </a:cubicBezTo>
                                    <a:cubicBezTo>
                                      <a:pt x="338455" y="323215"/>
                                      <a:pt x="307975" y="320040"/>
                                      <a:pt x="279400" y="330200"/>
                                    </a:cubicBezTo>
                                    <a:cubicBezTo>
                                      <a:pt x="250825" y="340360"/>
                                      <a:pt x="238760" y="347345"/>
                                      <a:pt x="211455" y="355600"/>
                                    </a:cubicBezTo>
                                    <a:cubicBezTo>
                                      <a:pt x="184150" y="363855"/>
                                      <a:pt x="171450" y="364490"/>
                                      <a:pt x="144145" y="372745"/>
                                    </a:cubicBezTo>
                                    <a:cubicBezTo>
                                      <a:pt x="116840" y="381000"/>
                                      <a:pt x="104775" y="391160"/>
                                      <a:pt x="76200" y="398145"/>
                                    </a:cubicBezTo>
                                    <a:cubicBezTo>
                                      <a:pt x="47625" y="405130"/>
                                      <a:pt x="13970" y="405130"/>
                                      <a:pt x="0" y="406400"/>
                                    </a:cubicBezTo>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id="_x0000_s1026" o:spid="_x0000_s1026" o:spt="100" style="position:absolute;left:0pt;margin-left:65.9pt;margin-top:5.3pt;height:32pt;width:29.1pt;z-index:251666432;mso-width-relative:page;mso-height-relative:page;" filled="f" stroked="t" coordsize="369666,406400" o:gfxdata="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" path="m76200,0c90170,4445,121920,13335,152400,25400c182880,37465,198120,44450,228600,59690c259080,74930,277495,79375,304800,101600c332105,123825,351790,142240,363855,169545c375920,196850,365760,210185,363855,237490c361950,264795,372745,286385,355600,304800c338455,323215,307975,320040,279400,330200c250825,340360,238760,347345,211455,355600c184150,363855,171450,364490,144145,372745c116840,381000,104775,391160,76200,398145c47625,405130,13970,405130,0,406400e">
                      <v:path o:connectlocs="76180,0;152360,25400;228540,59690;304720,101600;363760,169545;363760,237490;355507,304800;279327,330200;211400,355600;144107,372745;76180,398145;0,406400" o:connectangles="0,0,0,0,0,0,0,0,0,0,0,0"/>
                      <v:fill on="f" focussize="0,0"/>
                      <v:stroke weight="2pt" color="#FF0000 [3204]" joinstyle="round"/>
                      <v:imagedata o:title=""/>
                      <o:lock v:ext="edit" aspectratio="f"/>
                    </v:shape>
                  </w:pict>
                </mc:Fallback>
              </mc:AlternateContent>
            </w:r>
            <w:r>
              <w:rPr>
                <w:rFonts w:hint="eastAsia" w:eastAsia="宋体"/>
                <w:lang w:val="en-US" w:eastAsia="zh-CN"/>
              </w:rPr>
              <w:t>10</w:t>
            </w:r>
          </w:p>
        </w:tc>
        <w:tc>
          <w:tcPr>
            <w:tcW w:w="2551" w:type="dxa"/>
            <w:tcBorders>
              <w:top w:val="single" w:color="auto" w:sz="4" w:space="0"/>
              <w:left w:val="single" w:color="auto" w:sz="4" w:space="0"/>
              <w:bottom w:val="single" w:color="auto" w:sz="4" w:space="0"/>
              <w:right w:val="single" w:color="auto" w:sz="4" w:space="0"/>
            </w:tcBorders>
          </w:tcPr>
          <w:p>
            <w:pPr>
              <w:pStyle w:val="33"/>
              <w:rPr>
                <w:rFonts w:hint="default" w:eastAsia="宋体"/>
                <w:lang w:val="en-US" w:eastAsia="zh-CN"/>
              </w:rPr>
            </w:pPr>
            <w:r>
              <w:rPr>
                <w:sz w:val="18"/>
              </w:rPr>
              <mc:AlternateContent>
                <mc:Choice Requires="wps">
                  <w:drawing>
                    <wp:anchor distT="0" distB="0" distL="114300" distR="114300" simplePos="0" relativeHeight="251669504" behindDoc="0" locked="0" layoutInCell="1" allowOverlap="1">
                      <wp:simplePos x="0" y="0"/>
                      <wp:positionH relativeFrom="column">
                        <wp:posOffset>816610</wp:posOffset>
                      </wp:positionH>
                      <wp:positionV relativeFrom="paragraph">
                        <wp:posOffset>109855</wp:posOffset>
                      </wp:positionV>
                      <wp:extent cx="544195" cy="1016000"/>
                      <wp:effectExtent l="4445" t="12065" r="15240" b="23495"/>
                      <wp:wrapNone/>
                      <wp:docPr id="16" name="任意多边形 16"/>
                      <wp:cNvGraphicFramePr/>
                      <a:graphic xmlns:a="http://schemas.openxmlformats.org/drawingml/2006/main">
                        <a:graphicData uri="http://schemas.microsoft.com/office/word/2010/wordprocessingShape">
                          <wps:wsp>
                            <wps:cNvSpPr/>
                            <wps:spPr>
                              <a:xfrm>
                                <a:off x="4648835" y="5478780"/>
                                <a:ext cx="544195" cy="1016000"/>
                              </a:xfrm>
                              <a:custGeom>
                                <a:avLst/>
                                <a:gdLst>
                                  <a:gd name="connisteX0" fmla="*/ 0 w 543912"/>
                                  <a:gd name="connsiteY0" fmla="*/ 0 h 1016000"/>
                                  <a:gd name="connisteX1" fmla="*/ 76200 w 543912"/>
                                  <a:gd name="connsiteY1" fmla="*/ 25400 h 1016000"/>
                                  <a:gd name="connisteX2" fmla="*/ 160655 w 543912"/>
                                  <a:gd name="connsiteY2" fmla="*/ 33655 h 1016000"/>
                                  <a:gd name="connisteX3" fmla="*/ 245110 w 543912"/>
                                  <a:gd name="connsiteY3" fmla="*/ 50800 h 1016000"/>
                                  <a:gd name="connisteX4" fmla="*/ 313055 w 543912"/>
                                  <a:gd name="connsiteY4" fmla="*/ 67310 h 1016000"/>
                                  <a:gd name="connisteX5" fmla="*/ 389255 w 543912"/>
                                  <a:gd name="connsiteY5" fmla="*/ 118110 h 1016000"/>
                                  <a:gd name="connisteX6" fmla="*/ 457200 w 543912"/>
                                  <a:gd name="connsiteY6" fmla="*/ 186055 h 1016000"/>
                                  <a:gd name="connisteX7" fmla="*/ 508000 w 543912"/>
                                  <a:gd name="connsiteY7" fmla="*/ 262255 h 1016000"/>
                                  <a:gd name="connisteX8" fmla="*/ 524510 w 543912"/>
                                  <a:gd name="connsiteY8" fmla="*/ 330200 h 1016000"/>
                                  <a:gd name="connisteX9" fmla="*/ 541655 w 543912"/>
                                  <a:gd name="connsiteY9" fmla="*/ 397510 h 1016000"/>
                                  <a:gd name="connisteX10" fmla="*/ 541655 w 543912"/>
                                  <a:gd name="connsiteY10" fmla="*/ 465455 h 1016000"/>
                                  <a:gd name="connisteX11" fmla="*/ 541655 w 543912"/>
                                  <a:gd name="connsiteY11" fmla="*/ 533400 h 1016000"/>
                                  <a:gd name="connisteX12" fmla="*/ 516255 w 543912"/>
                                  <a:gd name="connsiteY12" fmla="*/ 600710 h 1016000"/>
                                  <a:gd name="connisteX13" fmla="*/ 465455 w 543912"/>
                                  <a:gd name="connsiteY13" fmla="*/ 668655 h 1016000"/>
                                  <a:gd name="connisteX14" fmla="*/ 406400 w 543912"/>
                                  <a:gd name="connsiteY14" fmla="*/ 736600 h 1016000"/>
                                  <a:gd name="connisteX15" fmla="*/ 346710 w 543912"/>
                                  <a:gd name="connsiteY15" fmla="*/ 803910 h 1016000"/>
                                  <a:gd name="connisteX16" fmla="*/ 279400 w 543912"/>
                                  <a:gd name="connsiteY16" fmla="*/ 863600 h 1016000"/>
                                  <a:gd name="connisteX17" fmla="*/ 211455 w 543912"/>
                                  <a:gd name="connsiteY17" fmla="*/ 922655 h 1016000"/>
                                  <a:gd name="connisteX18" fmla="*/ 143510 w 543912"/>
                                  <a:gd name="connsiteY18" fmla="*/ 973455 h 1016000"/>
                                  <a:gd name="connisteX19" fmla="*/ 67310 w 543912"/>
                                  <a:gd name="connsiteY19" fmla="*/ 998855 h 1016000"/>
                                  <a:gd name="connisteX20" fmla="*/ 0 w 543912"/>
                                  <a:gd name="connsiteY20" fmla="*/ 1016000 h 1016000"/>
                                </a:gdLst>
                                <a:ahLst/>
                                <a:cxnLst>
                                  <a:cxn ang="0">
                                    <a:pos x="connisteX0" y="connsiteY0"/>
                                  </a:cxn>
                                  <a:cxn ang="0">
                                    <a:pos x="connisteX1" y="connsiteY1"/>
                                  </a:cxn>
                                  <a:cxn ang="0">
                                    <a:pos x="connisteX2" y="connsiteY2"/>
                                  </a:cxn>
                                  <a:cxn ang="0">
                                    <a:pos x="connisteX3" y="connsiteY3"/>
                                  </a:cxn>
                                  <a:cxn ang="0">
                                    <a:pos x="connisteX4" y="connsiteY4"/>
                                  </a:cxn>
                                  <a:cxn ang="0">
                                    <a:pos x="connisteX5" y="connsiteY5"/>
                                  </a:cxn>
                                  <a:cxn ang="0">
                                    <a:pos x="connisteX6" y="connsiteY6"/>
                                  </a:cxn>
                                  <a:cxn ang="0">
                                    <a:pos x="connisteX7" y="connsiteY7"/>
                                  </a:cxn>
                                  <a:cxn ang="0">
                                    <a:pos x="connisteX8" y="connsiteY8"/>
                                  </a:cxn>
                                  <a:cxn ang="0">
                                    <a:pos x="connisteX9" y="connsiteY9"/>
                                  </a:cxn>
                                  <a:cxn ang="0">
                                    <a:pos x="connisteX10" y="connsiteY10"/>
                                  </a:cxn>
                                  <a:cxn ang="0">
                                    <a:pos x="connisteX11" y="connsiteY11"/>
                                  </a:cxn>
                                  <a:cxn ang="0">
                                    <a:pos x="connisteX12" y="connsiteY12"/>
                                  </a:cxn>
                                  <a:cxn ang="0">
                                    <a:pos x="connisteX13" y="connsiteY13"/>
                                  </a:cxn>
                                  <a:cxn ang="0">
                                    <a:pos x="connisteX14" y="connsiteY14"/>
                                  </a:cxn>
                                  <a:cxn ang="0">
                                    <a:pos x="connisteX15" y="connsiteY15"/>
                                  </a:cxn>
                                  <a:cxn ang="0">
                                    <a:pos x="connisteX16" y="connsiteY16"/>
                                  </a:cxn>
                                  <a:cxn ang="0">
                                    <a:pos x="connisteX17" y="connsiteY17"/>
                                  </a:cxn>
                                  <a:cxn ang="0">
                                    <a:pos x="connisteX18" y="connsiteY18"/>
                                  </a:cxn>
                                  <a:cxn ang="0">
                                    <a:pos x="connisteX19" y="connsiteY19"/>
                                  </a:cxn>
                                  <a:cxn ang="0">
                                    <a:pos x="connisteX20" y="connsiteY20"/>
                                  </a:cxn>
                                </a:cxnLst>
                                <a:rect l="l" t="t" r="r" b="b"/>
                                <a:pathLst>
                                  <a:path w="543913" h="1016000">
                                    <a:moveTo>
                                      <a:pt x="0" y="0"/>
                                    </a:moveTo>
                                    <a:cubicBezTo>
                                      <a:pt x="13335" y="5080"/>
                                      <a:pt x="43815" y="18415"/>
                                      <a:pt x="76200" y="25400"/>
                                    </a:cubicBezTo>
                                    <a:cubicBezTo>
                                      <a:pt x="108585" y="32385"/>
                                      <a:pt x="127000" y="28575"/>
                                      <a:pt x="160655" y="33655"/>
                                    </a:cubicBezTo>
                                    <a:cubicBezTo>
                                      <a:pt x="194310" y="38735"/>
                                      <a:pt x="214630" y="43815"/>
                                      <a:pt x="245110" y="50800"/>
                                    </a:cubicBezTo>
                                    <a:cubicBezTo>
                                      <a:pt x="275590" y="57785"/>
                                      <a:pt x="284480" y="53975"/>
                                      <a:pt x="313055" y="67310"/>
                                    </a:cubicBezTo>
                                    <a:cubicBezTo>
                                      <a:pt x="341630" y="80645"/>
                                      <a:pt x="360680" y="94615"/>
                                      <a:pt x="389255" y="118110"/>
                                    </a:cubicBezTo>
                                    <a:cubicBezTo>
                                      <a:pt x="417830" y="141605"/>
                                      <a:pt x="433705" y="157480"/>
                                      <a:pt x="457200" y="186055"/>
                                    </a:cubicBezTo>
                                    <a:cubicBezTo>
                                      <a:pt x="480695" y="214630"/>
                                      <a:pt x="494665" y="233680"/>
                                      <a:pt x="508000" y="262255"/>
                                    </a:cubicBezTo>
                                    <a:cubicBezTo>
                                      <a:pt x="521335" y="290830"/>
                                      <a:pt x="517525" y="302895"/>
                                      <a:pt x="524510" y="330200"/>
                                    </a:cubicBezTo>
                                    <a:cubicBezTo>
                                      <a:pt x="531495" y="357505"/>
                                      <a:pt x="538480" y="370205"/>
                                      <a:pt x="541655" y="397510"/>
                                    </a:cubicBezTo>
                                    <a:cubicBezTo>
                                      <a:pt x="544830" y="424815"/>
                                      <a:pt x="541655" y="438150"/>
                                      <a:pt x="541655" y="465455"/>
                                    </a:cubicBezTo>
                                    <a:cubicBezTo>
                                      <a:pt x="541655" y="492760"/>
                                      <a:pt x="546735" y="506095"/>
                                      <a:pt x="541655" y="533400"/>
                                    </a:cubicBezTo>
                                    <a:cubicBezTo>
                                      <a:pt x="536575" y="560705"/>
                                      <a:pt x="531495" y="573405"/>
                                      <a:pt x="516255" y="600710"/>
                                    </a:cubicBezTo>
                                    <a:cubicBezTo>
                                      <a:pt x="501015" y="628015"/>
                                      <a:pt x="487680" y="641350"/>
                                      <a:pt x="465455" y="668655"/>
                                    </a:cubicBezTo>
                                    <a:cubicBezTo>
                                      <a:pt x="443230" y="695960"/>
                                      <a:pt x="429895" y="709295"/>
                                      <a:pt x="406400" y="736600"/>
                                    </a:cubicBezTo>
                                    <a:cubicBezTo>
                                      <a:pt x="382905" y="763905"/>
                                      <a:pt x="372110" y="778510"/>
                                      <a:pt x="346710" y="803910"/>
                                    </a:cubicBezTo>
                                    <a:cubicBezTo>
                                      <a:pt x="321310" y="829310"/>
                                      <a:pt x="306705" y="840105"/>
                                      <a:pt x="279400" y="863600"/>
                                    </a:cubicBezTo>
                                    <a:cubicBezTo>
                                      <a:pt x="252095" y="887095"/>
                                      <a:pt x="238760" y="900430"/>
                                      <a:pt x="211455" y="922655"/>
                                    </a:cubicBezTo>
                                    <a:cubicBezTo>
                                      <a:pt x="184150" y="944880"/>
                                      <a:pt x="172085" y="958215"/>
                                      <a:pt x="143510" y="973455"/>
                                    </a:cubicBezTo>
                                    <a:cubicBezTo>
                                      <a:pt x="114935" y="988695"/>
                                      <a:pt x="95885" y="990600"/>
                                      <a:pt x="67310" y="998855"/>
                                    </a:cubicBezTo>
                                    <a:cubicBezTo>
                                      <a:pt x="38735" y="1007110"/>
                                      <a:pt x="12065" y="1012825"/>
                                      <a:pt x="0" y="1016000"/>
                                    </a:cubicBezTo>
                                  </a:path>
                                </a:pathLst>
                              </a:custGeom>
                              <a:no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id="_x0000_s1026" o:spid="_x0000_s1026" o:spt="100" style="position:absolute;left:0pt;margin-left:64.3pt;margin-top:8.65pt;height:80pt;width:42.85pt;z-index:251669504;mso-width-relative:page;mso-height-relative:page;" filled="f" stroked="t" coordsize="543913,1016000" o:gfxdata="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" path="m0,0c13335,5080,43815,18415,76200,25400c108585,32385,127000,28575,160655,33655c194310,38735,214630,43815,245110,50800c275590,57785,284480,53975,313055,67310c341630,80645,360680,94615,389255,118110c417830,141605,433705,157480,457200,186055c480695,214630,494665,233680,508000,262255c521335,290830,517525,302895,524510,330200c531495,357505,538480,370205,541655,397510c544830,424815,541655,438150,541655,465455c541655,492760,546735,506095,541655,533400c536575,560705,531495,573405,516255,600710c501015,628015,487680,641350,465455,668655c443230,695960,429895,709295,406400,736600c382905,763905,372110,778510,346710,803910c321310,829310,306705,840105,279400,863600c252095,887095,238760,900430,211455,922655c184150,944880,172085,958215,143510,973455c114935,988695,95885,990600,67310,998855c38735,1007110,12065,1012825,0,1016000e">
                      <v:path o:connectlocs="0,0;76239,25400;160738,33655;245237,50800;313217,67310;389457,118110;457437,186055;508264,262255;524782,330200;541936,397510;541936,465455;541936,533400;516523,600710;465697,668655;406611,736600;346890,803910;279545,863600;211565,922655;143584,973455;67345,998855;0,1016000" o:connectangles="0,0,0,0,0,0,0,0,0,0,0,0,0,0,0,0,0,0,0,0,0"/>
                      <v:fill on="f" focussize="0,0"/>
                      <v:stroke weight="2pt" color="#FFFF00 [3204]" joinstyle="round"/>
                      <v:imagedata o:title=""/>
                      <o:lock v:ext="edit" aspectratio="f"/>
                    </v:shape>
                  </w:pict>
                </mc:Fallback>
              </mc:AlternateContent>
            </w:r>
            <w:r>
              <w:rPr>
                <w:sz w:val="18"/>
              </w:rPr>
              <mc:AlternateContent>
                <mc:Choice Requires="wps">
                  <w:drawing>
                    <wp:anchor distT="0" distB="0" distL="114300" distR="114300" simplePos="0" relativeHeight="251667456" behindDoc="0" locked="0" layoutInCell="1" allowOverlap="1">
                      <wp:simplePos x="0" y="0"/>
                      <wp:positionH relativeFrom="column">
                        <wp:posOffset>833755</wp:posOffset>
                      </wp:positionH>
                      <wp:positionV relativeFrom="paragraph">
                        <wp:posOffset>118110</wp:posOffset>
                      </wp:positionV>
                      <wp:extent cx="400050" cy="601980"/>
                      <wp:effectExtent l="5715" t="11430" r="20955" b="26670"/>
                      <wp:wrapNone/>
                      <wp:docPr id="14" name="任意多边形 14"/>
                      <wp:cNvGraphicFramePr/>
                      <a:graphic xmlns:a="http://schemas.openxmlformats.org/drawingml/2006/main">
                        <a:graphicData uri="http://schemas.microsoft.com/office/word/2010/wordprocessingShape">
                          <wps:wsp>
                            <wps:cNvSpPr/>
                            <wps:spPr>
                              <a:xfrm>
                                <a:off x="4648835" y="5469890"/>
                                <a:ext cx="400050" cy="601980"/>
                              </a:xfrm>
                              <a:custGeom>
                                <a:avLst/>
                                <a:gdLst>
                                  <a:gd name="connisteX0" fmla="*/ 0 w 399767"/>
                                  <a:gd name="connsiteY0" fmla="*/ 0 h 602191"/>
                                  <a:gd name="connisteX1" fmla="*/ 84455 w 399767"/>
                                  <a:gd name="connsiteY1" fmla="*/ 42545 h 602191"/>
                                  <a:gd name="connisteX2" fmla="*/ 168910 w 399767"/>
                                  <a:gd name="connsiteY2" fmla="*/ 76200 h 602191"/>
                                  <a:gd name="connisteX3" fmla="*/ 254000 w 399767"/>
                                  <a:gd name="connsiteY3" fmla="*/ 93345 h 602191"/>
                                  <a:gd name="connisteX4" fmla="*/ 321310 w 399767"/>
                                  <a:gd name="connsiteY4" fmla="*/ 127000 h 602191"/>
                                  <a:gd name="connisteX5" fmla="*/ 372110 w 399767"/>
                                  <a:gd name="connsiteY5" fmla="*/ 194945 h 602191"/>
                                  <a:gd name="connisteX6" fmla="*/ 397510 w 399767"/>
                                  <a:gd name="connsiteY6" fmla="*/ 271145 h 602191"/>
                                  <a:gd name="connisteX7" fmla="*/ 397510 w 399767"/>
                                  <a:gd name="connsiteY7" fmla="*/ 339090 h 602191"/>
                                  <a:gd name="connisteX8" fmla="*/ 397510 w 399767"/>
                                  <a:gd name="connsiteY8" fmla="*/ 415290 h 602191"/>
                                  <a:gd name="connisteX9" fmla="*/ 389255 w 399767"/>
                                  <a:gd name="connsiteY9" fmla="*/ 482600 h 602191"/>
                                  <a:gd name="connisteX10" fmla="*/ 355600 w 399767"/>
                                  <a:gd name="connsiteY10" fmla="*/ 550545 h 602191"/>
                                  <a:gd name="connisteX11" fmla="*/ 287655 w 399767"/>
                                  <a:gd name="connsiteY11" fmla="*/ 593090 h 602191"/>
                                  <a:gd name="connisteX12" fmla="*/ 219710 w 399767"/>
                                  <a:gd name="connsiteY12" fmla="*/ 601345 h 602191"/>
                                  <a:gd name="connisteX13" fmla="*/ 152400 w 399767"/>
                                  <a:gd name="connsiteY13" fmla="*/ 601345 h 602191"/>
                                  <a:gd name="connisteX14" fmla="*/ 84455 w 399767"/>
                                  <a:gd name="connsiteY14" fmla="*/ 601345 h 602191"/>
                                  <a:gd name="connisteX15" fmla="*/ 16510 w 399767"/>
                                  <a:gd name="connsiteY15" fmla="*/ 601345 h 602191"/>
                                </a:gdLst>
                                <a:ahLst/>
                                <a:cxnLst>
                                  <a:cxn ang="0">
                                    <a:pos x="connisteX0" y="connsiteY0"/>
                                  </a:cxn>
                                  <a:cxn ang="0">
                                    <a:pos x="connisteX1" y="connsiteY1"/>
                                  </a:cxn>
                                  <a:cxn ang="0">
                                    <a:pos x="connisteX2" y="connsiteY2"/>
                                  </a:cxn>
                                  <a:cxn ang="0">
                                    <a:pos x="connisteX3" y="connsiteY3"/>
                                  </a:cxn>
                                  <a:cxn ang="0">
                                    <a:pos x="connisteX4" y="connsiteY4"/>
                                  </a:cxn>
                                  <a:cxn ang="0">
                                    <a:pos x="connisteX5" y="connsiteY5"/>
                                  </a:cxn>
                                  <a:cxn ang="0">
                                    <a:pos x="connisteX6" y="connsiteY6"/>
                                  </a:cxn>
                                  <a:cxn ang="0">
                                    <a:pos x="connisteX7" y="connsiteY7"/>
                                  </a:cxn>
                                  <a:cxn ang="0">
                                    <a:pos x="connisteX8" y="connsiteY8"/>
                                  </a:cxn>
                                  <a:cxn ang="0">
                                    <a:pos x="connisteX9" y="connsiteY9"/>
                                  </a:cxn>
                                  <a:cxn ang="0">
                                    <a:pos x="connisteX10" y="connsiteY10"/>
                                  </a:cxn>
                                  <a:cxn ang="0">
                                    <a:pos x="connisteX11" y="connsiteY11"/>
                                  </a:cxn>
                                  <a:cxn ang="0">
                                    <a:pos x="connisteX12" y="connsiteY12"/>
                                  </a:cxn>
                                  <a:cxn ang="0">
                                    <a:pos x="connisteX13" y="connsiteY13"/>
                                  </a:cxn>
                                  <a:cxn ang="0">
                                    <a:pos x="connisteX14" y="connsiteY14"/>
                                  </a:cxn>
                                  <a:cxn ang="0">
                                    <a:pos x="connisteX15" y="connsiteY15"/>
                                  </a:cxn>
                                </a:cxnLst>
                                <a:rect l="l" t="t" r="r" b="b"/>
                                <a:pathLst>
                                  <a:path w="399768" h="602192">
                                    <a:moveTo>
                                      <a:pt x="0" y="0"/>
                                    </a:moveTo>
                                    <a:cubicBezTo>
                                      <a:pt x="15240" y="7620"/>
                                      <a:pt x="50800" y="27305"/>
                                      <a:pt x="84455" y="42545"/>
                                    </a:cubicBezTo>
                                    <a:cubicBezTo>
                                      <a:pt x="118110" y="57785"/>
                                      <a:pt x="135255" y="66040"/>
                                      <a:pt x="168910" y="76200"/>
                                    </a:cubicBezTo>
                                    <a:cubicBezTo>
                                      <a:pt x="202565" y="86360"/>
                                      <a:pt x="223520" y="83185"/>
                                      <a:pt x="254000" y="93345"/>
                                    </a:cubicBezTo>
                                    <a:cubicBezTo>
                                      <a:pt x="284480" y="103505"/>
                                      <a:pt x="297815" y="106680"/>
                                      <a:pt x="321310" y="127000"/>
                                    </a:cubicBezTo>
                                    <a:cubicBezTo>
                                      <a:pt x="344805" y="147320"/>
                                      <a:pt x="356870" y="166370"/>
                                      <a:pt x="372110" y="194945"/>
                                    </a:cubicBezTo>
                                    <a:cubicBezTo>
                                      <a:pt x="387350" y="223520"/>
                                      <a:pt x="392430" y="242570"/>
                                      <a:pt x="397510" y="271145"/>
                                    </a:cubicBezTo>
                                    <a:cubicBezTo>
                                      <a:pt x="402590" y="299720"/>
                                      <a:pt x="397510" y="310515"/>
                                      <a:pt x="397510" y="339090"/>
                                    </a:cubicBezTo>
                                    <a:cubicBezTo>
                                      <a:pt x="397510" y="367665"/>
                                      <a:pt x="399415" y="386715"/>
                                      <a:pt x="397510" y="415290"/>
                                    </a:cubicBezTo>
                                    <a:cubicBezTo>
                                      <a:pt x="395605" y="443865"/>
                                      <a:pt x="397510" y="455295"/>
                                      <a:pt x="389255" y="482600"/>
                                    </a:cubicBezTo>
                                    <a:cubicBezTo>
                                      <a:pt x="381000" y="509905"/>
                                      <a:pt x="375920" y="528320"/>
                                      <a:pt x="355600" y="550545"/>
                                    </a:cubicBezTo>
                                    <a:cubicBezTo>
                                      <a:pt x="335280" y="572770"/>
                                      <a:pt x="314960" y="582930"/>
                                      <a:pt x="287655" y="593090"/>
                                    </a:cubicBezTo>
                                    <a:cubicBezTo>
                                      <a:pt x="260350" y="603250"/>
                                      <a:pt x="247015" y="599440"/>
                                      <a:pt x="219710" y="601345"/>
                                    </a:cubicBezTo>
                                    <a:cubicBezTo>
                                      <a:pt x="192405" y="603250"/>
                                      <a:pt x="179705" y="601345"/>
                                      <a:pt x="152400" y="601345"/>
                                    </a:cubicBezTo>
                                    <a:cubicBezTo>
                                      <a:pt x="125095" y="601345"/>
                                      <a:pt x="111760" y="601345"/>
                                      <a:pt x="84455" y="601345"/>
                                    </a:cubicBezTo>
                                    <a:cubicBezTo>
                                      <a:pt x="57150" y="601345"/>
                                      <a:pt x="28575" y="601345"/>
                                      <a:pt x="16510" y="601345"/>
                                    </a:cubicBezTo>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id="_x0000_s1026" o:spid="_x0000_s1026" o:spt="100" style="position:absolute;left:0pt;margin-left:65.65pt;margin-top:9.3pt;height:47.4pt;width:31.5pt;z-index:251667456;mso-width-relative:page;mso-height-relative:page;" filled="f" stroked="t" coordsize="399768,602192" o:gfxdata="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" path="m0,0c15240,7620,50800,27305,84455,42545c118110,57785,135255,66040,168910,76200c202565,86360,223520,83185,254000,93345c284480,103505,297815,106680,321310,127000c344805,147320,356870,166370,372110,194945c387350,223520,392430,242570,397510,271145c402590,299720,397510,310515,397510,339090c397510,367665,399415,386715,397510,415290c395605,443865,397510,455295,389255,482600c381000,509905,375920,528320,355600,550545c335280,572770,314960,582930,287655,593090c260350,603250,247015,599440,219710,601345c192405,603250,179705,601345,152400,601345c125095,601345,111760,601345,84455,601345c57150,601345,28575,601345,16510,601345e">
                      <v:path o:connectlocs="0,0;84514,42530;169029,76173;254179,93312;321537,126955;372373,194876;397791,271049;397791,338971;397791,415144;389530,482430;355851,550352;287858,592882;219865,601134;152507,601134;84514,601134;16521,601134" o:connectangles="0,0,0,0,0,0,0,0,0,0,0,0,0,0,0,0"/>
                      <v:fill on="f" focussize="0,0"/>
                      <v:stroke weight="2pt" color="#FF0000 [3204]" joinstyle="round"/>
                      <v:imagedata o:title=""/>
                      <o:lock v:ext="edit" aspectratio="f"/>
                    </v:shape>
                  </w:pict>
                </mc:Fallback>
              </mc:AlternateContent>
            </w:r>
            <w:r>
              <w:rPr>
                <w:rFonts w:hint="eastAsia" w:eastAsia="宋体"/>
                <w:lang w:val="en-US" w:eastAsia="zh-CN"/>
              </w:rPr>
              <w:t>80</w:t>
            </w:r>
          </w:p>
        </w:tc>
        <w:tc>
          <w:tcPr>
            <w:tcW w:w="1560" w:type="dxa"/>
            <w:tcBorders>
              <w:top w:val="single" w:color="auto" w:sz="4" w:space="0"/>
              <w:left w:val="single" w:color="auto" w:sz="4" w:space="0"/>
              <w:bottom w:val="single" w:color="auto" w:sz="4" w:space="0"/>
              <w:right w:val="single" w:color="auto" w:sz="4" w:space="0"/>
            </w:tcBorders>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pStyle w:val="33"/>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Pr>
          <w:p>
            <w:pPr>
              <w:pStyle w:val="33"/>
              <w:rPr>
                <w:rFonts w:hint="default" w:eastAsia="宋体"/>
                <w:lang w:val="en-US" w:eastAsia="zh-CN"/>
              </w:rPr>
            </w:pPr>
            <w:r>
              <w:rPr>
                <w:rFonts w:hint="eastAsia" w:eastAsia="宋体"/>
                <w:lang w:val="en-US" w:eastAsia="zh-CN"/>
              </w:rPr>
              <w:t>-5</w:t>
            </w:r>
          </w:p>
        </w:tc>
        <w:tc>
          <w:tcPr>
            <w:tcW w:w="2551" w:type="dxa"/>
            <w:tcBorders>
              <w:top w:val="single" w:color="auto" w:sz="4" w:space="0"/>
              <w:left w:val="single" w:color="auto" w:sz="4" w:space="0"/>
              <w:bottom w:val="single" w:color="auto" w:sz="4" w:space="0"/>
              <w:right w:val="single" w:color="auto" w:sz="4" w:space="0"/>
            </w:tcBorders>
          </w:tcPr>
          <w:p>
            <w:pPr>
              <w:pStyle w:val="33"/>
              <w:rPr>
                <w:rFonts w:hint="default" w:eastAsia="宋体"/>
                <w:lang w:val="en-US" w:eastAsia="zh-CN"/>
              </w:rPr>
            </w:pPr>
          </w:p>
        </w:tc>
        <w:tc>
          <w:tcPr>
            <w:tcW w:w="1560" w:type="dxa"/>
            <w:tcBorders>
              <w:top w:val="single" w:color="auto" w:sz="4" w:space="0"/>
              <w:left w:val="single" w:color="auto" w:sz="4" w:space="0"/>
              <w:bottom w:val="single" w:color="auto" w:sz="4" w:space="0"/>
              <w:right w:val="single" w:color="auto" w:sz="4" w:space="0"/>
            </w:tcBorders>
          </w:tcPr>
          <w:p>
            <w:pPr>
              <w:pStyle w:val="33"/>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3"/>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shd w:val="clear" w:color="auto" w:fill="C7DAF1" w:themeFill="text2" w:themeFillTint="32"/>
          </w:tcPr>
          <w:p>
            <w:pPr>
              <w:pStyle w:val="33"/>
              <w:rPr>
                <w:rFonts w:hint="default" w:eastAsia="宋体"/>
                <w:lang w:val="en-US" w:eastAsia="zh-CN"/>
              </w:rPr>
            </w:pPr>
            <w:r>
              <w:rPr>
                <w:rFonts w:hint="eastAsia" w:eastAsia="宋体"/>
                <w:lang w:val="en-US" w:eastAsia="zh-CN"/>
              </w:rPr>
              <w:t>-13</w:t>
            </w:r>
          </w:p>
        </w:tc>
        <w:tc>
          <w:tcPr>
            <w:tcW w:w="2551" w:type="dxa"/>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3"/>
              <w:rPr>
                <w:rFonts w:hint="default" w:eastAsia="宋体"/>
                <w:lang w:val="en-US" w:eastAsia="zh-CN"/>
              </w:rPr>
            </w:pPr>
            <w:r>
              <w:rPr>
                <w:rFonts w:hint="eastAsia" w:eastAsia="宋体"/>
                <w:lang w:val="en-US" w:eastAsia="zh-CN"/>
              </w:rPr>
              <w:t>65</w:t>
            </w:r>
          </w:p>
        </w:tc>
        <w:tc>
          <w:tcPr>
            <w:tcW w:w="1560" w:type="dxa"/>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3"/>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shd w:val="clear" w:color="auto" w:fill="92D050"/>
          </w:tcPr>
          <w:p>
            <w:pPr>
              <w:pStyle w:val="33"/>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shd w:val="clear" w:color="auto" w:fill="92D050"/>
          </w:tcPr>
          <w:p>
            <w:pPr>
              <w:pStyle w:val="33"/>
              <w:rPr>
                <w:rFonts w:hint="default" w:eastAsia="宋体"/>
                <w:lang w:val="en-US" w:eastAsia="zh-CN"/>
              </w:rPr>
            </w:pPr>
            <w:r>
              <w:rPr>
                <w:rFonts w:hint="eastAsia" w:eastAsia="宋体"/>
                <w:lang w:val="en-US" w:eastAsia="zh-CN"/>
              </w:rPr>
              <w:t>-15</w:t>
            </w:r>
          </w:p>
        </w:tc>
        <w:tc>
          <w:tcPr>
            <w:tcW w:w="2551" w:type="dxa"/>
            <w:tcBorders>
              <w:top w:val="single" w:color="auto" w:sz="4" w:space="0"/>
              <w:left w:val="single" w:color="auto" w:sz="4" w:space="0"/>
              <w:bottom w:val="single" w:color="auto" w:sz="4" w:space="0"/>
              <w:right w:val="single" w:color="auto" w:sz="4" w:space="0"/>
            </w:tcBorders>
            <w:shd w:val="clear" w:color="auto" w:fill="92D050"/>
          </w:tcPr>
          <w:p>
            <w:pPr>
              <w:pStyle w:val="33"/>
              <w:rPr>
                <w:rFonts w:hint="default" w:eastAsia="宋体"/>
                <w:lang w:val="en-US" w:eastAsia="zh-CN"/>
              </w:rPr>
            </w:pPr>
            <w:r>
              <w:rPr>
                <w:rFonts w:hint="eastAsia" w:eastAsia="宋体"/>
                <w:lang w:val="en-US" w:eastAsia="zh-CN"/>
              </w:rPr>
              <w:t>57</w:t>
            </w:r>
          </w:p>
        </w:tc>
        <w:tc>
          <w:tcPr>
            <w:tcW w:w="1560" w:type="dxa"/>
            <w:tcBorders>
              <w:top w:val="single" w:color="auto" w:sz="4" w:space="0"/>
              <w:left w:val="single" w:color="auto" w:sz="4" w:space="0"/>
              <w:bottom w:val="single" w:color="auto" w:sz="4" w:space="0"/>
              <w:right w:val="single" w:color="auto" w:sz="4" w:space="0"/>
            </w:tcBorders>
            <w:shd w:val="clear" w:color="auto" w:fill="92D050"/>
          </w:tcPr>
          <w:p>
            <w:pPr>
              <w:pStyle w:val="33"/>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pStyle w:val="45"/>
              <w:rPr>
                <w:lang w:val="en-US"/>
              </w:rPr>
            </w:pPr>
            <w:r>
              <w:rPr>
                <w:lang w:val="en-US"/>
              </w:rPr>
              <w:t xml:space="preserve">NOTE </w:t>
            </w:r>
            <w:r>
              <w:rPr>
                <w:rFonts w:hint="eastAsia"/>
                <w:lang w:val="en-US" w:eastAsia="zh-CN"/>
              </w:rPr>
              <w:t>1</w:t>
            </w:r>
            <w:r>
              <w:rPr>
                <w:lang w:val="en-US"/>
              </w:rPr>
              <w:t>:</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 xml:space="preserve">. </w:t>
            </w:r>
          </w:p>
        </w:tc>
      </w:tr>
    </w:tbl>
    <w:p>
      <w:pPr>
        <w:jc w:val="both"/>
        <w:rPr>
          <w:rFonts w:hint="eastAsia"/>
          <w:lang w:val="en-US" w:eastAsia="zh-CN"/>
        </w:rPr>
      </w:pPr>
    </w:p>
    <w:p>
      <w:pPr>
        <w:jc w:val="both"/>
        <w:rPr>
          <w:rFonts w:hint="eastAsia"/>
          <w:lang w:val="en-US" w:eastAsia="zh-CN"/>
        </w:rPr>
      </w:pPr>
      <w:r>
        <w:rPr>
          <w:rFonts w:hint="eastAsia"/>
          <w:lang w:val="en-US" w:eastAsia="zh-CN"/>
        </w:rPr>
        <w:t>Based on the above considerations, the OOBB limit for FR2 is proposed as following:</w:t>
      </w:r>
    </w:p>
    <w:p>
      <w:pPr>
        <w:jc w:val="both"/>
        <w:rPr>
          <w:rFonts w:hint="default"/>
          <w:b/>
          <w:bCs/>
          <w:lang w:val="en-US" w:eastAsia="zh-CN"/>
        </w:rPr>
      </w:pPr>
      <w:r>
        <w:rPr>
          <w:rFonts w:hint="eastAsia"/>
          <w:b/>
          <w:bCs/>
          <w:lang w:val="en-US" w:eastAsia="zh-CN"/>
        </w:rPr>
        <w:t>Proposal 3:  to specify the OOBB limit for FR2 as following:</w:t>
      </w:r>
    </w:p>
    <w:p>
      <w:pPr>
        <w:pStyle w:val="42"/>
        <w:keepNext/>
        <w:keepLines/>
        <w:pageBreakBefore w:val="0"/>
        <w:widowControl/>
        <w:kinsoku/>
        <w:wordWrap/>
        <w:overflowPunct w:val="0"/>
        <w:topLinePunct w:val="0"/>
        <w:autoSpaceDE w:val="0"/>
        <w:autoSpaceDN w:val="0"/>
        <w:bidi w:val="0"/>
        <w:adjustRightInd w:val="0"/>
        <w:snapToGrid/>
        <w:textAlignment w:val="baseline"/>
        <w:outlineLvl w:val="9"/>
        <w:rPr>
          <w:rFonts w:hint="default" w:eastAsia="宋体" w:cs="v4.1.0"/>
          <w:lang w:val="en-US" w:eastAsia="zh-CN"/>
        </w:rPr>
      </w:pPr>
      <w:r>
        <w:rPr>
          <w:rFonts w:cs="v4.1.0"/>
        </w:rPr>
        <w:t xml:space="preserve">Table </w:t>
      </w:r>
      <w:r>
        <w:rPr>
          <w:rFonts w:hint="eastAsia" w:cs="v4.1.0"/>
          <w:lang w:val="en-US" w:eastAsia="zh-CN"/>
        </w:rPr>
        <w:t>1</w:t>
      </w:r>
      <w:r>
        <w:rPr>
          <w:rFonts w:cs="v4.1.0"/>
        </w:rPr>
        <w:t xml:space="preserve">: Out of band gain limits </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noWrap w:val="0"/>
            <w:vAlign w:val="top"/>
          </w:tcPr>
          <w:p>
            <w:pPr>
              <w:pStyle w:val="32"/>
            </w:pPr>
            <w:r>
              <w:t>Frequency offset, f_offset_CW</w:t>
            </w:r>
          </w:p>
        </w:tc>
        <w:tc>
          <w:tcPr>
            <w:tcW w:w="1633" w:type="dxa"/>
            <w:noWrap w:val="0"/>
            <w:vAlign w:val="top"/>
          </w:tcPr>
          <w:p>
            <w:pPr>
              <w:pStyle w:val="32"/>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C7DAF1" w:themeFill="text2" w:themeFillTint="32"/>
            <w:noWrap w:val="0"/>
            <w:vAlign w:val="center"/>
          </w:tcPr>
          <w:p>
            <w:pPr>
              <w:pStyle w:val="33"/>
              <w:jc w:val="center"/>
              <w:rPr>
                <w:rFonts w:cs="v4.1.0"/>
                <w:highlight w:val="none"/>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1633" w:type="dxa"/>
            <w:shd w:val="clear" w:color="auto" w:fill="C7DAF1" w:themeFill="text2" w:themeFillTint="32"/>
            <w:noWrap w:val="0"/>
            <w:vAlign w:val="center"/>
          </w:tcPr>
          <w:p>
            <w:pPr>
              <w:pStyle w:val="33"/>
              <w:jc w:val="center"/>
              <w:rPr>
                <w:highlight w:val="none"/>
              </w:rPr>
            </w:pPr>
            <w:r>
              <w:rPr>
                <w:highlight w:val="none"/>
              </w:rPr>
              <w:t>6</w:t>
            </w:r>
            <w:r>
              <w:rPr>
                <w:rFonts w:hint="eastAsia" w:eastAsia="宋体"/>
                <w:highlight w:val="none"/>
                <w:lang w:val="en-US" w:eastAsia="zh-CN"/>
              </w:rPr>
              <w:t>5</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92D050"/>
            <w:noWrap w:val="0"/>
            <w:vAlign w:val="top"/>
          </w:tcPr>
          <w:p>
            <w:pPr>
              <w:pStyle w:val="33"/>
              <w:rPr>
                <w:rFonts w:cs="v4.1.0"/>
                <w:highlight w:val="none"/>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1633" w:type="dxa"/>
            <w:shd w:val="clear" w:color="auto" w:fill="92D050"/>
            <w:noWrap w:val="0"/>
            <w:vAlign w:val="top"/>
          </w:tcPr>
          <w:p>
            <w:pPr>
              <w:pStyle w:val="33"/>
              <w:rPr>
                <w:highlight w:val="none"/>
              </w:rPr>
            </w:pPr>
            <w:r>
              <w:rPr>
                <w:rFonts w:hint="eastAsia" w:eastAsia="宋体"/>
                <w:highlight w:val="none"/>
                <w:lang w:val="en-US" w:eastAsia="zh-CN"/>
              </w:rPr>
              <w:t>57</w:t>
            </w: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75" w:type="dxa"/>
            <w:gridSpan w:val="2"/>
            <w:shd w:val="clear" w:color="auto" w:fill="auto"/>
            <w:noWrap w:val="0"/>
            <w:vAlign w:val="top"/>
          </w:tcPr>
          <w:p>
            <w:pPr>
              <w:pStyle w:val="33"/>
              <w:jc w:val="both"/>
              <w:rPr>
                <w:rFonts w:hint="eastAsia" w:eastAsia="宋体"/>
                <w:highlight w:val="none"/>
                <w:lang w:val="en-US" w:eastAsia="zh-CN"/>
              </w:rPr>
            </w:pPr>
            <w:r>
              <w:rPr>
                <w:lang w:val="en-US"/>
              </w:rPr>
              <w:t xml:space="preserve">NOTE </w:t>
            </w:r>
            <w:r>
              <w:rPr>
                <w:rFonts w:hint="eastAsia"/>
                <w:lang w:val="en-US" w:eastAsia="zh-CN"/>
              </w:rPr>
              <w:t>1</w:t>
            </w:r>
            <w:r>
              <w:rPr>
                <w:lang w:val="en-US"/>
              </w:rPr>
              <w:t>:</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 xml:space="preserve">. </w:t>
            </w:r>
          </w:p>
        </w:tc>
      </w:tr>
    </w:tbl>
    <w:p>
      <w:pPr>
        <w:jc w:val="both"/>
        <w:rPr>
          <w:rFonts w:hint="default"/>
          <w:lang w:val="en-US" w:eastAsia="zh-CN"/>
        </w:rPr>
      </w:pPr>
    </w:p>
    <w:p>
      <w:r>
        <w:t xml:space="preserve">For </w:t>
      </w:r>
      <w:r>
        <w:rPr>
          <w:rFonts w:cs="v5.0.0"/>
        </w:rPr>
        <w:sym w:font="Symbol" w:char="F044"/>
      </w:r>
      <w:r>
        <w:rPr>
          <w:rFonts w:cs="v5.0.0"/>
        </w:rPr>
        <w:t>f</w:t>
      </w:r>
      <w:r>
        <w:rPr>
          <w:rFonts w:cs="v5.0.0"/>
          <w:vertAlign w:val="subscript"/>
        </w:rPr>
        <w:t>max</w:t>
      </w:r>
      <w:r>
        <w:t xml:space="preserve"> </w:t>
      </w:r>
      <w:r>
        <w:rPr/>
        <w:sym w:font="Symbol" w:char="F0A3"/>
      </w:r>
      <w:r>
        <w:t xml:space="preserve"> f_offset_CW the out of band gain shall not exceed the maximum gain of table </w:t>
      </w:r>
      <w:r>
        <w:rPr>
          <w:rFonts w:hint="eastAsia"/>
          <w:lang w:val="en-US" w:eastAsia="zh-CN"/>
        </w:rPr>
        <w:t>2</w:t>
      </w:r>
      <w:r>
        <w:t xml:space="preserve"> or the maximum gain stated in table </w:t>
      </w:r>
      <w:r>
        <w:rPr>
          <w:rFonts w:hint="eastAsia"/>
          <w:lang w:val="en-US" w:eastAsia="zh-CN"/>
        </w:rPr>
        <w:t>1</w:t>
      </w:r>
      <w:r>
        <w:t xml:space="preserve"> whichever is lower.</w:t>
      </w:r>
    </w:p>
    <w:p>
      <w:pPr>
        <w:pStyle w:val="42"/>
      </w:pPr>
      <w:r>
        <w:t>Table</w:t>
      </w:r>
      <w:r>
        <w:rPr>
          <w:rFonts w:hint="eastAsia"/>
          <w:lang w:val="en-US" w:eastAsia="zh-CN"/>
        </w:rPr>
        <w:t xml:space="preserve"> 2</w:t>
      </w:r>
      <w:r>
        <w:t>: Out of band gain limits 2</w:t>
      </w:r>
    </w:p>
    <w:tbl>
      <w:tblPr>
        <w:tblStyle w:val="21"/>
        <w:tblW w:w="7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01"/>
        <w:gridCol w:w="4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801" w:type="dxa"/>
            <w:noWrap w:val="0"/>
            <w:vAlign w:val="top"/>
          </w:tcPr>
          <w:p>
            <w:pPr>
              <w:pStyle w:val="32"/>
            </w:pPr>
            <w:r>
              <w:rPr>
                <w:rFonts w:cs="v4.2.0"/>
              </w:rPr>
              <w:t>Frequency offset, f_offset_CW</w:t>
            </w:r>
          </w:p>
        </w:tc>
        <w:tc>
          <w:tcPr>
            <w:tcW w:w="4914" w:type="dxa"/>
            <w:noWrap w:val="0"/>
            <w:vAlign w:val="top"/>
          </w:tcPr>
          <w:p>
            <w:pPr>
              <w:pStyle w:val="32"/>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801" w:type="dxa"/>
            <w:noWrap w:val="0"/>
            <w:vAlign w:val="top"/>
          </w:tcPr>
          <w:p>
            <w:pPr>
              <w:pStyle w:val="33"/>
            </w:pPr>
            <w:r>
              <w:rPr>
                <w:rFonts w:cs="v4.1.0"/>
              </w:rPr>
              <w:t xml:space="preserve"> </w:t>
            </w:r>
            <w:r>
              <w:rPr>
                <w:rFonts w:cs="v5.0.0"/>
              </w:rPr>
              <w:sym w:font="Symbol" w:char="F044"/>
            </w:r>
            <w:r>
              <w:rPr>
                <w:rFonts w:cs="v5.0.0"/>
              </w:rPr>
              <w:t>f</w:t>
            </w:r>
            <w:r>
              <w:rPr>
                <w:rFonts w:cs="v5.0.0"/>
                <w:vertAlign w:val="subscript"/>
              </w:rPr>
              <w:t>max</w:t>
            </w:r>
            <w:r>
              <w:rPr>
                <w:rFonts w:hint="eastAsia" w:eastAsia="宋体" w:cs="v5.0.0"/>
                <w:vertAlign w:val="subscript"/>
                <w:lang w:val="en-US" w:eastAsia="zh-CN"/>
              </w:rPr>
              <w:t xml:space="preserve"> </w:t>
            </w:r>
            <w:r>
              <w:rPr>
                <w:rFonts w:cs="v4.2.0"/>
              </w:rPr>
              <w:sym w:font="Symbol" w:char="F0A3"/>
            </w:r>
            <w:r>
              <w:rPr>
                <w:rFonts w:cs="v4.2.0"/>
              </w:rPr>
              <w:t xml:space="preserve"> f_offset_CW</w:t>
            </w:r>
          </w:p>
        </w:tc>
        <w:tc>
          <w:tcPr>
            <w:tcW w:w="4914" w:type="dxa"/>
            <w:noWrap w:val="0"/>
            <w:vAlign w:val="top"/>
          </w:tcPr>
          <w:p>
            <w:pPr>
              <w:pStyle w:val="33"/>
            </w:pPr>
            <w:r>
              <w:t xml:space="preserve">Out of band gain </w:t>
            </w:r>
            <w:r>
              <w:rPr/>
              <w:sym w:font="Symbol" w:char="F0A3"/>
            </w:r>
            <w:r>
              <w:t xml:space="preserve"> minimum donor coupling loss</w:t>
            </w:r>
          </w:p>
        </w:tc>
      </w:tr>
    </w:tbl>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2.5. ACRR</w:t>
      </w:r>
    </w:p>
    <w:p>
      <w:pPr>
        <w:pBdr>
          <w:bottom w:val="single" w:color="auto" w:sz="4" w:space="0"/>
        </w:pBdr>
        <w:rPr>
          <w:rFonts w:hint="default" w:eastAsiaTheme="minorEastAsia"/>
          <w:highlight w:val="none"/>
          <w:lang w:val="en-US" w:eastAsia="zh-CN"/>
        </w:rPr>
      </w:pPr>
      <w:r>
        <w:rPr>
          <w:rFonts w:hint="eastAsia" w:eastAsiaTheme="minorEastAsia"/>
          <w:highlight w:val="none"/>
          <w:lang w:val="en-US" w:eastAsia="zh-CN"/>
        </w:rPr>
        <w:t>In last RAN4 meeting, it was agree to set the ACRR equal to ACLR requirement, indeed from ACRR requirement is tightly related with OOB gain requirement, as analyzed and proposed before , OOB gain is aligned with ACLR requirement, therefore we think that it should be okay to follow ACLR requirement for ACRR requirement and proposal in details for FR2 ACRR requirement is proposed as following: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rPr>
                <w:rFonts w:eastAsia="等线"/>
                <w:lang w:eastAsia="zh-CN"/>
              </w:rPr>
            </w:pPr>
            <w:r>
              <w:rPr>
                <w:rFonts w:hint="eastAsia" w:eastAsia="等线"/>
                <w:highlight w:val="green"/>
                <w:lang w:eastAsia="zh-CN"/>
              </w:rPr>
              <w:t>A</w:t>
            </w:r>
            <w:r>
              <w:rPr>
                <w:rFonts w:eastAsia="等线"/>
                <w:highlight w:val="green"/>
                <w:lang w:eastAsia="zh-CN"/>
              </w:rPr>
              <w:t>greement:</w:t>
            </w:r>
          </w:p>
          <w:p>
            <w:pPr>
              <w:spacing w:after="120"/>
              <w:rPr>
                <w:highlight w:val="green"/>
                <w:lang w:eastAsia="zh-CN"/>
              </w:rPr>
            </w:pPr>
            <w:r>
              <w:rPr>
                <w:highlight w:val="green"/>
                <w:lang w:eastAsia="zh-CN"/>
              </w:rPr>
              <w:t xml:space="preserve">Take same approach as FR1, define both ACLR and ACRR core requirements. </w:t>
            </w:r>
          </w:p>
          <w:p>
            <w:pPr>
              <w:pStyle w:val="31"/>
              <w:numPr>
                <w:ilvl w:val="0"/>
                <w:numId w:val="4"/>
              </w:numPr>
              <w:spacing w:after="120"/>
              <w:ind w:firstLineChars="0"/>
              <w:rPr>
                <w:highlight w:val="green"/>
              </w:rPr>
            </w:pPr>
            <w:r>
              <w:rPr>
                <w:highlight w:val="green"/>
              </w:rPr>
              <w:t>Detailed test case(s) can be further discussed and decided in conformance phase.</w:t>
            </w:r>
          </w:p>
          <w:p>
            <w:pPr>
              <w:rPr>
                <w:lang w:eastAsia="sv-SE"/>
              </w:rPr>
            </w:pPr>
            <w:r>
              <w:rPr>
                <w:lang w:eastAsia="sv-SE"/>
              </w:rPr>
              <w:t>A</w:t>
            </w:r>
            <w:r>
              <w:rPr>
                <w:rFonts w:hint="eastAsia"/>
                <w:lang w:eastAsia="sv-SE"/>
              </w:rPr>
              <w:t>nd</w:t>
            </w:r>
          </w:p>
          <w:p>
            <w:pPr>
              <w:spacing w:after="0"/>
              <w:rPr>
                <w:rFonts w:eastAsia="等线"/>
                <w:bCs/>
                <w:color w:val="0070C0"/>
                <w:lang w:eastAsia="zh-CN"/>
              </w:rPr>
            </w:pPr>
            <w:r>
              <w:rPr>
                <w:highlight w:val="green"/>
              </w:rPr>
              <w:t>Set ACRR equal to ACLR for FR2 as baseline assumption.</w:t>
            </w:r>
            <w:r>
              <w:t xml:space="preserve"> </w:t>
            </w:r>
          </w:p>
        </w:tc>
      </w:tr>
    </w:tbl>
    <w:p/>
    <w:p>
      <w:pPr>
        <w:jc w:val="both"/>
        <w:rPr>
          <w:rFonts w:hint="eastAsia"/>
          <w:highlight w:val="none"/>
          <w:lang w:val="en-US" w:eastAsia="zh-CN"/>
        </w:rPr>
      </w:pPr>
      <w:r>
        <w:rPr>
          <w:rFonts w:hint="eastAsia"/>
          <w:b/>
          <w:bCs/>
          <w:lang w:val="en-US" w:eastAsia="zh-CN"/>
        </w:rPr>
        <w:t>Proposal 4: to specify the OOBB limit for FR2 as following:</w:t>
      </w:r>
    </w:p>
    <w:p>
      <w:pPr>
        <w:rPr>
          <w:rFonts w:hint="eastAsia"/>
          <w:highlight w:val="none"/>
          <w:lang w:val="en-US" w:eastAsia="zh-CN"/>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noWrap w:val="0"/>
            <w:vAlign w:val="top"/>
          </w:tcPr>
          <w:p>
            <w:pPr>
              <w:pStyle w:val="32"/>
            </w:pPr>
            <w:r>
              <w:t>Co-existence with other systems</w:t>
            </w:r>
          </w:p>
        </w:tc>
        <w:tc>
          <w:tcPr>
            <w:tcW w:w="2061" w:type="dxa"/>
            <w:noWrap w:val="0"/>
            <w:vAlign w:val="top"/>
          </w:tcPr>
          <w:p>
            <w:pPr>
              <w:pStyle w:val="32"/>
            </w:pPr>
            <w:r>
              <w:t>Repeater maximum output power</w:t>
            </w:r>
          </w:p>
        </w:tc>
        <w:tc>
          <w:tcPr>
            <w:tcW w:w="3600" w:type="dxa"/>
            <w:noWrap w:val="0"/>
            <w:vAlign w:val="top"/>
          </w:tcPr>
          <w:p>
            <w:pPr>
              <w:pStyle w:val="32"/>
              <w:rPr>
                <w:rFonts w:cs="v5.0.0"/>
              </w:rPr>
            </w:pPr>
            <w:r>
              <w:rPr>
                <w:rFonts w:cs="v4.2.0"/>
              </w:rPr>
              <w:t>Channel offset from the centre frequency of the first or last 5</w:t>
            </w:r>
            <w:r>
              <w:rPr>
                <w:rFonts w:hint="eastAsia" w:eastAsia="宋体" w:cs="v4.2.0"/>
                <w:lang w:val="en-US" w:eastAsia="zh-CN"/>
              </w:rPr>
              <w:t>0</w:t>
            </w:r>
            <w:r>
              <w:rPr>
                <w:rFonts w:cs="v4.2.0"/>
              </w:rPr>
              <w:t>MHz channel within the pass band.</w:t>
            </w:r>
          </w:p>
        </w:tc>
        <w:tc>
          <w:tcPr>
            <w:tcW w:w="1620" w:type="dxa"/>
            <w:noWrap w:val="0"/>
            <w:vAlign w:val="top"/>
          </w:tcPr>
          <w:p>
            <w:pPr>
              <w:pStyle w:val="32"/>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noWrap w:val="0"/>
            <w:vAlign w:val="center"/>
          </w:tcPr>
          <w:p>
            <w:pPr>
              <w:pStyle w:val="33"/>
              <w:rPr>
                <w:rFonts w:hint="default" w:eastAsia="宋体"/>
                <w:lang w:val="en-US" w:eastAsia="zh-CN"/>
              </w:rPr>
            </w:pPr>
            <w:r>
              <w:rPr>
                <w:rFonts w:hint="eastAsia" w:eastAsia="宋体"/>
                <w:lang w:val="en-US" w:eastAsia="zh-CN"/>
              </w:rPr>
              <w:t>NR</w:t>
            </w:r>
          </w:p>
        </w:tc>
        <w:tc>
          <w:tcPr>
            <w:tcW w:w="2061" w:type="dxa"/>
            <w:noWrap w:val="0"/>
            <w:vAlign w:val="top"/>
          </w:tcPr>
          <w:p>
            <w:pPr>
              <w:pStyle w:val="33"/>
              <w:rPr>
                <w:rFonts w:hint="default" w:eastAsia="宋体"/>
                <w:lang w:val="en-US" w:eastAsia="zh-CN"/>
              </w:rPr>
            </w:pPr>
            <w:r>
              <w:rPr>
                <w:rFonts w:hint="eastAsia" w:eastAsia="宋体"/>
                <w:lang w:val="en-US" w:eastAsia="zh-CN"/>
              </w:rPr>
              <w:t>Declared maximum output power</w:t>
            </w:r>
          </w:p>
        </w:tc>
        <w:tc>
          <w:tcPr>
            <w:tcW w:w="3600" w:type="dxa"/>
            <w:noWrap w:val="0"/>
            <w:vAlign w:val="top"/>
          </w:tcPr>
          <w:p>
            <w:pPr>
              <w:pStyle w:val="33"/>
              <w:rPr>
                <w:rFonts w:cs="v5.0.0"/>
              </w:rPr>
            </w:pPr>
            <w:r>
              <w:rPr>
                <w:rFonts w:cs="v5.0.0"/>
              </w:rPr>
              <w:t>5</w:t>
            </w:r>
            <w:r>
              <w:rPr>
                <w:rFonts w:hint="eastAsia" w:eastAsia="宋体" w:cs="v5.0.0"/>
                <w:lang w:val="en-US" w:eastAsia="zh-CN"/>
              </w:rPr>
              <w:t>0</w:t>
            </w:r>
            <w:r>
              <w:rPr>
                <w:rFonts w:cs="v5.0.0"/>
              </w:rPr>
              <w:t xml:space="preserve"> MHz</w:t>
            </w:r>
          </w:p>
        </w:tc>
        <w:tc>
          <w:tcPr>
            <w:tcW w:w="1620" w:type="dxa"/>
            <w:noWrap w:val="0"/>
            <w:vAlign w:val="top"/>
          </w:tcPr>
          <w:p>
            <w:pPr>
              <w:pStyle w:val="33"/>
            </w:pPr>
            <w:r>
              <w:t xml:space="preserve">28 (Note </w:t>
            </w:r>
            <w:r>
              <w:rPr>
                <w:rFonts w:hint="eastAsia" w:eastAsia="宋体"/>
                <w:lang w:val="en-US" w:eastAsia="zh-CN"/>
              </w:rPr>
              <w:t>1</w:t>
            </w:r>
            <w:r>
              <w:t>)</w:t>
            </w:r>
          </w:p>
          <w:p>
            <w:pPr>
              <w:pStyle w:val="33"/>
            </w:pPr>
            <w:r>
              <w:t xml:space="preserve">26 (Note </w:t>
            </w:r>
            <w:r>
              <w:rPr>
                <w:rFonts w:hint="eastAsia" w:eastAsia="宋体"/>
                <w:lang w:val="en-US" w:eastAsia="zh-CN"/>
              </w:rPr>
              <w:t>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noWrap w:val="0"/>
            <w:vAlign w:val="top"/>
          </w:tcPr>
          <w:p>
            <w:pPr>
              <w:pStyle w:val="33"/>
            </w:pPr>
          </w:p>
        </w:tc>
        <w:tc>
          <w:tcPr>
            <w:tcW w:w="2061" w:type="dxa"/>
            <w:noWrap w:val="0"/>
            <w:vAlign w:val="top"/>
          </w:tcPr>
          <w:p>
            <w:pPr>
              <w:pStyle w:val="33"/>
            </w:pPr>
            <w:r>
              <w:rPr>
                <w:rFonts w:hint="eastAsia" w:eastAsia="宋体"/>
                <w:lang w:val="en-US" w:eastAsia="zh-CN"/>
              </w:rPr>
              <w:t>Declared maximum output power</w:t>
            </w:r>
          </w:p>
        </w:tc>
        <w:tc>
          <w:tcPr>
            <w:tcW w:w="3600" w:type="dxa"/>
            <w:noWrap w:val="0"/>
            <w:vAlign w:val="top"/>
          </w:tcPr>
          <w:p>
            <w:pPr>
              <w:pStyle w:val="33"/>
              <w:rPr>
                <w:rFonts w:cs="v5.0.0"/>
              </w:rPr>
            </w:pPr>
            <w:r>
              <w:rPr>
                <w:rFonts w:cs="v5.0.0"/>
              </w:rPr>
              <w:t>10</w:t>
            </w:r>
            <w:r>
              <w:rPr>
                <w:rFonts w:hint="eastAsia" w:eastAsia="宋体" w:cs="v5.0.0"/>
                <w:lang w:val="en-US" w:eastAsia="zh-CN"/>
              </w:rPr>
              <w:t>0</w:t>
            </w:r>
            <w:r>
              <w:rPr>
                <w:rFonts w:cs="v5.0.0"/>
              </w:rPr>
              <w:t xml:space="preserve"> MHz</w:t>
            </w:r>
          </w:p>
        </w:tc>
        <w:tc>
          <w:tcPr>
            <w:tcW w:w="1620" w:type="dxa"/>
            <w:noWrap w:val="0"/>
            <w:vAlign w:val="top"/>
          </w:tcPr>
          <w:p>
            <w:pPr>
              <w:pStyle w:val="33"/>
            </w:pPr>
            <w:r>
              <w:t xml:space="preserve">28 (Note </w:t>
            </w:r>
            <w:r>
              <w:rPr>
                <w:rFonts w:hint="eastAsia" w:eastAsia="宋体"/>
                <w:lang w:val="en-US" w:eastAsia="zh-CN"/>
              </w:rPr>
              <w:t>1</w:t>
            </w:r>
            <w:r>
              <w:t>)</w:t>
            </w:r>
          </w:p>
          <w:p>
            <w:pPr>
              <w:pStyle w:val="33"/>
            </w:pPr>
            <w:r>
              <w:t xml:space="preserve">26 (Note </w:t>
            </w:r>
            <w:r>
              <w:rPr>
                <w:rFonts w:hint="eastAsia" w:eastAsia="宋体"/>
                <w:lang w:val="en-US" w:eastAsia="zh-CN"/>
              </w:rPr>
              <w:t>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noWrap w:val="0"/>
            <w:vAlign w:val="top"/>
          </w:tcPr>
          <w:p>
            <w:pPr>
              <w:pStyle w:val="45"/>
              <w:rPr>
                <w:rFonts w:eastAsia="宋体"/>
                <w:lang w:eastAsia="zh-CN"/>
              </w:rPr>
            </w:pPr>
            <w:r>
              <w:rPr>
                <w:rFonts w:eastAsia="宋体"/>
                <w:lang w:eastAsia="zh-CN"/>
              </w:rPr>
              <w:t xml:space="preserve">NOTE </w:t>
            </w:r>
            <w:r>
              <w:rPr>
                <w:rFonts w:hint="eastAsia" w:eastAsia="宋体"/>
                <w:lang w:val="en-US" w:eastAsia="zh-CN"/>
              </w:rPr>
              <w:t>1</w:t>
            </w:r>
            <w:r>
              <w:rPr>
                <w:rFonts w:eastAsia="宋体"/>
                <w:lang w:eastAsia="zh-CN"/>
              </w:rPr>
              <w:t>:</w:t>
            </w:r>
            <w:r>
              <w:rPr>
                <w:rFonts w:eastAsia="宋体"/>
                <w:lang w:eastAsia="zh-CN"/>
              </w:rPr>
              <w:tab/>
            </w:r>
            <w:r>
              <w:rPr>
                <w:rFonts w:eastAsia="宋体"/>
                <w:lang w:eastAsia="zh-CN"/>
              </w:rPr>
              <w:t>Applicable to bands defined within the frequency spectrum range of 24.25 – 33.4 GHz.</w:t>
            </w:r>
          </w:p>
          <w:p>
            <w:pPr>
              <w:pStyle w:val="45"/>
              <w:rPr>
                <w:rFonts w:hint="eastAsia" w:eastAsia="宋体" w:cs="v5.0.0"/>
                <w:lang w:val="en-US" w:eastAsia="zh-CN"/>
              </w:rPr>
            </w:pPr>
            <w:r>
              <w:rPr>
                <w:rFonts w:eastAsia="宋体"/>
                <w:lang w:eastAsia="zh-CN"/>
              </w:rPr>
              <w:t xml:space="preserve">NOTE </w:t>
            </w:r>
            <w:r>
              <w:rPr>
                <w:rFonts w:hint="eastAsia" w:eastAsia="宋体"/>
                <w:lang w:val="en-US" w:eastAsia="zh-CN"/>
              </w:rPr>
              <w:t>2</w:t>
            </w:r>
            <w:r>
              <w:rPr>
                <w:rFonts w:eastAsia="宋体"/>
                <w:lang w:eastAsia="zh-CN"/>
              </w:rPr>
              <w:t>:</w:t>
            </w:r>
            <w:r>
              <w:rPr>
                <w:rFonts w:eastAsia="宋体"/>
                <w:lang w:eastAsia="zh-CN"/>
              </w:rPr>
              <w:tab/>
            </w:r>
            <w:r>
              <w:rPr>
                <w:rFonts w:eastAsia="宋体"/>
                <w:lang w:eastAsia="zh-CN"/>
              </w:rPr>
              <w:t>Applicable to bands defined within the frequency spectrum range of 37 – 52.6 GHz.</w:t>
            </w:r>
          </w:p>
        </w:tc>
      </w:tr>
    </w:tbl>
    <w:p>
      <w:pPr>
        <w:rPr>
          <w:rFonts w:hint="eastAsia"/>
          <w:highlight w:val="none"/>
          <w:lang w:val="en-US" w:eastAsia="zh-CN"/>
        </w:rPr>
      </w:pPr>
    </w:p>
    <w:bookmarkEnd w:id="2"/>
    <w:bookmarkEnd w:id="3"/>
    <w:bookmarkEnd w:id="4"/>
    <w:bookmarkEnd w:id="5"/>
    <w:p>
      <w:pPr>
        <w:pStyle w:val="52"/>
        <w:tabs>
          <w:tab w:val="left" w:pos="567"/>
          <w:tab w:val="clear" w:pos="1985"/>
        </w:tabs>
        <w:adjustRightInd w:val="0"/>
        <w:ind w:left="510" w:hanging="510"/>
        <w:rPr>
          <w:highlight w:val="none"/>
        </w:rPr>
      </w:pPr>
      <w:r>
        <w:rPr>
          <w:highlight w:val="none"/>
        </w:rPr>
        <w:t>Conclusions</w:t>
      </w:r>
    </w:p>
    <w:p>
      <w:pPr>
        <w:rPr>
          <w:rFonts w:hint="eastAsia" w:cs="Times New Roman" w:eastAsiaTheme="minorEastAsia"/>
          <w:kern w:val="2"/>
          <w:sz w:val="21"/>
          <w:szCs w:val="22"/>
          <w:highlight w:val="none"/>
          <w:lang w:val="en-US" w:eastAsia="zh-CN" w:bidi="ar-SA"/>
        </w:rPr>
      </w:pPr>
      <w:r>
        <w:rPr>
          <w:rFonts w:hint="eastAsia" w:eastAsiaTheme="minorEastAsia"/>
          <w:lang w:val="en-US" w:eastAsia="zh-CN"/>
        </w:rPr>
        <w:t xml:space="preserve">In this contribution, </w:t>
      </w:r>
      <w:r>
        <w:rPr>
          <w:rFonts w:hint="eastAsia" w:ascii="Times New Roman" w:hAnsi="Times New Roman" w:cs="Times New Roman" w:eastAsiaTheme="minorEastAsia"/>
          <w:kern w:val="2"/>
          <w:sz w:val="21"/>
          <w:szCs w:val="22"/>
          <w:highlight w:val="none"/>
          <w:lang w:val="en-US" w:eastAsia="zh-CN" w:bidi="ar-SA"/>
        </w:rPr>
        <w:t>we want to share some further considerations on those remaining open issues</w:t>
      </w:r>
      <w:r>
        <w:rPr>
          <w:rFonts w:hint="eastAsia" w:cs="Times New Roman" w:eastAsiaTheme="minorEastAsia"/>
          <w:kern w:val="2"/>
          <w:sz w:val="21"/>
          <w:szCs w:val="22"/>
          <w:highlight w:val="none"/>
          <w:lang w:val="en-US" w:eastAsia="zh-CN" w:bidi="ar-SA"/>
        </w:rPr>
        <w:t xml:space="preserve"> of conducted repeater and proposals are made as following:</w:t>
      </w:r>
    </w:p>
    <w:p>
      <w:pPr>
        <w:rPr>
          <w:rFonts w:hint="default"/>
          <w:b/>
          <w:bCs/>
          <w:lang w:val="en-US" w:eastAsia="zh-CN"/>
        </w:rPr>
      </w:pPr>
      <w:r>
        <w:rPr>
          <w:rFonts w:hint="eastAsia" w:cs="v4.1.0"/>
          <w:b/>
          <w:bCs/>
          <w:lang w:val="en-US" w:eastAsia="zh-CN"/>
        </w:rPr>
        <w:t>Proposal 1: to support option 1 with modulated signal to 50MHz;</w:t>
      </w:r>
    </w:p>
    <w:p>
      <w:pPr>
        <w:jc w:val="both"/>
        <w:rPr>
          <w:rFonts w:hint="eastAsia"/>
          <w:b/>
          <w:bCs/>
          <w:lang w:val="en-US" w:eastAsia="zh-CN"/>
        </w:rPr>
      </w:pPr>
      <w:r>
        <w:rPr>
          <w:rFonts w:hint="eastAsia"/>
          <w:b/>
          <w:bCs/>
          <w:lang w:val="en-US" w:eastAsia="zh-CN"/>
        </w:rPr>
        <w:t>Proposal 2:</w:t>
      </w:r>
      <w:r>
        <w:rPr>
          <w:rFonts w:hint="eastAsia"/>
          <w:lang w:val="en-US" w:eastAsia="zh-CN"/>
        </w:rPr>
        <w:t xml:space="preserve"> </w:t>
      </w:r>
      <w:r>
        <w:rPr>
          <w:rFonts w:hint="eastAsia" w:cs="v4.1.0"/>
          <w:b/>
          <w:bCs/>
          <w:lang w:val="en-US" w:eastAsia="zh-CN"/>
        </w:rPr>
        <w:t xml:space="preserve">in-band gain for FR2 could be 80dBc at most; </w:t>
      </w:r>
    </w:p>
    <w:p>
      <w:pPr>
        <w:jc w:val="both"/>
        <w:rPr>
          <w:rFonts w:hint="default"/>
          <w:b/>
          <w:bCs/>
          <w:lang w:val="en-US" w:eastAsia="zh-CN"/>
        </w:rPr>
      </w:pPr>
      <w:r>
        <w:rPr>
          <w:rFonts w:hint="eastAsia"/>
          <w:b/>
          <w:bCs/>
          <w:lang w:val="en-US" w:eastAsia="zh-CN"/>
        </w:rPr>
        <w:t>Proposal 3: to specify the OOBB limit for FR2 as following:</w:t>
      </w:r>
    </w:p>
    <w:p>
      <w:pPr>
        <w:pStyle w:val="42"/>
        <w:keepNext/>
        <w:keepLines/>
        <w:pageBreakBefore w:val="0"/>
        <w:widowControl/>
        <w:kinsoku/>
        <w:wordWrap/>
        <w:overflowPunct w:val="0"/>
        <w:topLinePunct w:val="0"/>
        <w:autoSpaceDE w:val="0"/>
        <w:autoSpaceDN w:val="0"/>
        <w:bidi w:val="0"/>
        <w:adjustRightInd w:val="0"/>
        <w:snapToGrid/>
        <w:textAlignment w:val="baseline"/>
        <w:outlineLvl w:val="9"/>
        <w:rPr>
          <w:rFonts w:hint="default" w:eastAsia="宋体" w:cs="v4.1.0"/>
          <w:lang w:val="en-US" w:eastAsia="zh-CN"/>
        </w:rPr>
      </w:pPr>
      <w:r>
        <w:rPr>
          <w:rFonts w:cs="v4.1.0"/>
        </w:rPr>
        <w:t xml:space="preserve">Table </w:t>
      </w:r>
      <w:r>
        <w:rPr>
          <w:rFonts w:hint="eastAsia" w:cs="v4.1.0"/>
          <w:lang w:val="en-US" w:eastAsia="zh-CN"/>
        </w:rPr>
        <w:t>1</w:t>
      </w:r>
      <w:r>
        <w:rPr>
          <w:rFonts w:cs="v4.1.0"/>
        </w:rPr>
        <w:t xml:space="preserve">: Out of band gain limits </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noWrap w:val="0"/>
            <w:vAlign w:val="top"/>
          </w:tcPr>
          <w:p>
            <w:pPr>
              <w:pStyle w:val="32"/>
            </w:pPr>
            <w:r>
              <w:t>Frequency offset, f_offset_CW</w:t>
            </w:r>
          </w:p>
        </w:tc>
        <w:tc>
          <w:tcPr>
            <w:tcW w:w="1633" w:type="dxa"/>
            <w:noWrap w:val="0"/>
            <w:vAlign w:val="top"/>
          </w:tcPr>
          <w:p>
            <w:pPr>
              <w:pStyle w:val="32"/>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C7DAF1" w:themeFill="text2" w:themeFillTint="32"/>
            <w:noWrap w:val="0"/>
            <w:vAlign w:val="center"/>
          </w:tcPr>
          <w:p>
            <w:pPr>
              <w:pStyle w:val="33"/>
              <w:jc w:val="center"/>
              <w:rPr>
                <w:rFonts w:cs="v4.1.0"/>
                <w:highlight w:val="none"/>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1633" w:type="dxa"/>
            <w:shd w:val="clear" w:color="auto" w:fill="C7DAF1" w:themeFill="text2" w:themeFillTint="32"/>
            <w:noWrap w:val="0"/>
            <w:vAlign w:val="center"/>
          </w:tcPr>
          <w:p>
            <w:pPr>
              <w:pStyle w:val="33"/>
              <w:jc w:val="center"/>
              <w:rPr>
                <w:highlight w:val="none"/>
              </w:rPr>
            </w:pPr>
            <w:r>
              <w:rPr>
                <w:highlight w:val="none"/>
              </w:rPr>
              <w:t>6</w:t>
            </w:r>
            <w:r>
              <w:rPr>
                <w:rFonts w:hint="eastAsia" w:eastAsia="宋体"/>
                <w:highlight w:val="none"/>
                <w:lang w:val="en-US" w:eastAsia="zh-CN"/>
              </w:rPr>
              <w:t>5</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92D050"/>
            <w:noWrap w:val="0"/>
            <w:vAlign w:val="top"/>
          </w:tcPr>
          <w:p>
            <w:pPr>
              <w:pStyle w:val="33"/>
              <w:rPr>
                <w:rFonts w:cs="v4.1.0"/>
                <w:highlight w:val="none"/>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1633" w:type="dxa"/>
            <w:shd w:val="clear" w:color="auto" w:fill="92D050"/>
            <w:noWrap w:val="0"/>
            <w:vAlign w:val="top"/>
          </w:tcPr>
          <w:p>
            <w:pPr>
              <w:pStyle w:val="33"/>
              <w:rPr>
                <w:highlight w:val="none"/>
              </w:rPr>
            </w:pPr>
            <w:r>
              <w:rPr>
                <w:rFonts w:hint="eastAsia" w:eastAsia="宋体"/>
                <w:highlight w:val="none"/>
                <w:lang w:val="en-US" w:eastAsia="zh-CN"/>
              </w:rPr>
              <w:t>57</w:t>
            </w: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75" w:type="dxa"/>
            <w:gridSpan w:val="2"/>
            <w:shd w:val="clear" w:color="auto" w:fill="auto"/>
            <w:noWrap w:val="0"/>
            <w:vAlign w:val="top"/>
          </w:tcPr>
          <w:p>
            <w:pPr>
              <w:pStyle w:val="33"/>
              <w:jc w:val="both"/>
              <w:rPr>
                <w:rFonts w:hint="eastAsia" w:eastAsia="宋体"/>
                <w:highlight w:val="none"/>
                <w:lang w:val="en-US" w:eastAsia="zh-CN"/>
              </w:rPr>
            </w:pPr>
            <w:r>
              <w:rPr>
                <w:lang w:val="en-US"/>
              </w:rPr>
              <w:t xml:space="preserve">NOTE </w:t>
            </w:r>
            <w:r>
              <w:rPr>
                <w:rFonts w:hint="eastAsia"/>
                <w:lang w:val="en-US" w:eastAsia="zh-CN"/>
              </w:rPr>
              <w:t>1</w:t>
            </w:r>
            <w:r>
              <w:rPr>
                <w:lang w:val="en-US"/>
              </w:rPr>
              <w:t>:</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 xml:space="preserve">. </w:t>
            </w:r>
          </w:p>
        </w:tc>
      </w:tr>
    </w:tbl>
    <w:p>
      <w:pPr>
        <w:jc w:val="both"/>
        <w:rPr>
          <w:rFonts w:hint="default"/>
          <w:lang w:val="en-US" w:eastAsia="zh-CN"/>
        </w:rPr>
      </w:pPr>
    </w:p>
    <w:p>
      <w:r>
        <w:t xml:space="preserve">For </w:t>
      </w:r>
      <w:r>
        <w:rPr>
          <w:rFonts w:cs="v5.0.0"/>
        </w:rPr>
        <w:sym w:font="Symbol" w:char="F044"/>
      </w:r>
      <w:r>
        <w:rPr>
          <w:rFonts w:cs="v5.0.0"/>
        </w:rPr>
        <w:t>f</w:t>
      </w:r>
      <w:r>
        <w:rPr>
          <w:rFonts w:cs="v5.0.0"/>
          <w:vertAlign w:val="subscript"/>
        </w:rPr>
        <w:t>max</w:t>
      </w:r>
      <w:r>
        <w:t xml:space="preserve"> </w:t>
      </w:r>
      <w:r>
        <w:rPr/>
        <w:sym w:font="Symbol" w:char="F0A3"/>
      </w:r>
      <w:r>
        <w:t xml:space="preserve"> f_offset_CW the out of band gain shall not exceed the maximum gain of table </w:t>
      </w:r>
      <w:r>
        <w:rPr>
          <w:rFonts w:hint="eastAsia"/>
          <w:lang w:val="en-US" w:eastAsia="zh-CN"/>
        </w:rPr>
        <w:t>2</w:t>
      </w:r>
      <w:r>
        <w:t xml:space="preserve"> or the maximum gain stated in table </w:t>
      </w:r>
      <w:r>
        <w:rPr>
          <w:rFonts w:hint="eastAsia"/>
          <w:lang w:val="en-US" w:eastAsia="zh-CN"/>
        </w:rPr>
        <w:t>1</w:t>
      </w:r>
      <w:r>
        <w:t xml:space="preserve"> whichever is lower.</w:t>
      </w:r>
    </w:p>
    <w:p>
      <w:pPr>
        <w:pStyle w:val="42"/>
      </w:pPr>
      <w:r>
        <w:t>Table</w:t>
      </w:r>
      <w:r>
        <w:rPr>
          <w:rFonts w:hint="eastAsia"/>
          <w:lang w:val="en-US" w:eastAsia="zh-CN"/>
        </w:rPr>
        <w:t xml:space="preserve"> 2</w:t>
      </w:r>
      <w:r>
        <w:t>: Out of band gain limits 2</w:t>
      </w:r>
    </w:p>
    <w:tbl>
      <w:tblPr>
        <w:tblStyle w:val="21"/>
        <w:tblW w:w="7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01"/>
        <w:gridCol w:w="4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801" w:type="dxa"/>
            <w:noWrap w:val="0"/>
            <w:vAlign w:val="top"/>
          </w:tcPr>
          <w:p>
            <w:pPr>
              <w:pStyle w:val="32"/>
            </w:pPr>
            <w:r>
              <w:rPr>
                <w:rFonts w:cs="v4.2.0"/>
              </w:rPr>
              <w:t>Frequency offset, f_offset_CW</w:t>
            </w:r>
          </w:p>
        </w:tc>
        <w:tc>
          <w:tcPr>
            <w:tcW w:w="4914" w:type="dxa"/>
            <w:noWrap w:val="0"/>
            <w:vAlign w:val="top"/>
          </w:tcPr>
          <w:p>
            <w:pPr>
              <w:pStyle w:val="32"/>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801" w:type="dxa"/>
            <w:noWrap w:val="0"/>
            <w:vAlign w:val="top"/>
          </w:tcPr>
          <w:p>
            <w:pPr>
              <w:pStyle w:val="33"/>
            </w:pPr>
            <w:r>
              <w:rPr>
                <w:rFonts w:cs="v4.1.0"/>
              </w:rPr>
              <w:t xml:space="preserve"> </w:t>
            </w:r>
            <w:r>
              <w:rPr>
                <w:rFonts w:cs="v5.0.0"/>
              </w:rPr>
              <w:sym w:font="Symbol" w:char="F044"/>
            </w:r>
            <w:r>
              <w:rPr>
                <w:rFonts w:cs="v5.0.0"/>
              </w:rPr>
              <w:t>f</w:t>
            </w:r>
            <w:r>
              <w:rPr>
                <w:rFonts w:cs="v5.0.0"/>
                <w:vertAlign w:val="subscript"/>
              </w:rPr>
              <w:t>max</w:t>
            </w:r>
            <w:r>
              <w:rPr>
                <w:rFonts w:hint="eastAsia" w:eastAsia="宋体" w:cs="v5.0.0"/>
                <w:vertAlign w:val="subscript"/>
                <w:lang w:val="en-US" w:eastAsia="zh-CN"/>
              </w:rPr>
              <w:t xml:space="preserve"> </w:t>
            </w:r>
            <w:r>
              <w:rPr>
                <w:rFonts w:cs="v4.2.0"/>
              </w:rPr>
              <w:sym w:font="Symbol" w:char="F0A3"/>
            </w:r>
            <w:r>
              <w:rPr>
                <w:rFonts w:cs="v4.2.0"/>
              </w:rPr>
              <w:t xml:space="preserve"> f_offset_CW</w:t>
            </w:r>
          </w:p>
        </w:tc>
        <w:tc>
          <w:tcPr>
            <w:tcW w:w="4914" w:type="dxa"/>
            <w:noWrap w:val="0"/>
            <w:vAlign w:val="top"/>
          </w:tcPr>
          <w:p>
            <w:pPr>
              <w:pStyle w:val="33"/>
            </w:pPr>
            <w:r>
              <w:t xml:space="preserve">Out of band gain </w:t>
            </w:r>
            <w:r>
              <w:rPr/>
              <w:sym w:font="Symbol" w:char="F0A3"/>
            </w:r>
            <w:r>
              <w:t xml:space="preserve"> minimum donor coupling loss</w:t>
            </w:r>
          </w:p>
        </w:tc>
      </w:tr>
    </w:tbl>
    <w:p>
      <w:pPr>
        <w:rPr>
          <w:rFonts w:hint="eastAsia"/>
          <w:b/>
          <w:bCs/>
          <w:lang w:val="en-US" w:eastAsia="zh-CN"/>
        </w:rPr>
      </w:pPr>
      <w:r>
        <w:rPr>
          <w:rFonts w:hint="eastAsia"/>
          <w:b/>
          <w:bCs/>
          <w:lang w:val="en-US" w:eastAsia="zh-CN"/>
        </w:rPr>
        <w:t xml:space="preserve"> </w:t>
      </w:r>
    </w:p>
    <w:p>
      <w:pPr>
        <w:jc w:val="both"/>
        <w:rPr>
          <w:rFonts w:hint="eastAsia"/>
          <w:highlight w:val="none"/>
          <w:lang w:val="en-US" w:eastAsia="zh-CN"/>
        </w:rPr>
      </w:pPr>
      <w:r>
        <w:rPr>
          <w:rFonts w:hint="eastAsia"/>
          <w:b/>
          <w:bCs/>
          <w:lang w:val="en-US" w:eastAsia="zh-CN"/>
        </w:rPr>
        <w:t>Proposal 4: to specify the OOBB limit for FR2 as following:</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noWrap w:val="0"/>
            <w:vAlign w:val="top"/>
          </w:tcPr>
          <w:p>
            <w:pPr>
              <w:pStyle w:val="32"/>
            </w:pPr>
            <w:r>
              <w:t>Co-existence with other systems</w:t>
            </w:r>
          </w:p>
        </w:tc>
        <w:tc>
          <w:tcPr>
            <w:tcW w:w="2061" w:type="dxa"/>
            <w:noWrap w:val="0"/>
            <w:vAlign w:val="top"/>
          </w:tcPr>
          <w:p>
            <w:pPr>
              <w:pStyle w:val="32"/>
            </w:pPr>
            <w:r>
              <w:t>Repeater maximum output power</w:t>
            </w:r>
          </w:p>
        </w:tc>
        <w:tc>
          <w:tcPr>
            <w:tcW w:w="3600" w:type="dxa"/>
            <w:noWrap w:val="0"/>
            <w:vAlign w:val="top"/>
          </w:tcPr>
          <w:p>
            <w:pPr>
              <w:pStyle w:val="32"/>
              <w:rPr>
                <w:rFonts w:cs="v5.0.0"/>
              </w:rPr>
            </w:pPr>
            <w:r>
              <w:rPr>
                <w:rFonts w:cs="v4.2.0"/>
              </w:rPr>
              <w:t>Channel offset from the centre frequency of the first or last 5</w:t>
            </w:r>
            <w:r>
              <w:rPr>
                <w:rFonts w:hint="eastAsia" w:eastAsia="宋体" w:cs="v4.2.0"/>
                <w:lang w:val="en-US" w:eastAsia="zh-CN"/>
              </w:rPr>
              <w:t>0</w:t>
            </w:r>
            <w:r>
              <w:rPr>
                <w:rFonts w:cs="v4.2.0"/>
              </w:rPr>
              <w:t>MHz channel within the pass band.</w:t>
            </w:r>
          </w:p>
        </w:tc>
        <w:tc>
          <w:tcPr>
            <w:tcW w:w="1620" w:type="dxa"/>
            <w:noWrap w:val="0"/>
            <w:vAlign w:val="top"/>
          </w:tcPr>
          <w:p>
            <w:pPr>
              <w:pStyle w:val="32"/>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noWrap w:val="0"/>
            <w:vAlign w:val="center"/>
          </w:tcPr>
          <w:p>
            <w:pPr>
              <w:pStyle w:val="33"/>
              <w:rPr>
                <w:rFonts w:hint="default" w:eastAsia="宋体"/>
                <w:lang w:val="en-US" w:eastAsia="zh-CN"/>
              </w:rPr>
            </w:pPr>
            <w:r>
              <w:rPr>
                <w:rFonts w:hint="eastAsia" w:eastAsia="宋体"/>
                <w:lang w:val="en-US" w:eastAsia="zh-CN"/>
              </w:rPr>
              <w:t>NR</w:t>
            </w:r>
          </w:p>
        </w:tc>
        <w:tc>
          <w:tcPr>
            <w:tcW w:w="2061" w:type="dxa"/>
            <w:noWrap w:val="0"/>
            <w:vAlign w:val="top"/>
          </w:tcPr>
          <w:p>
            <w:pPr>
              <w:pStyle w:val="33"/>
              <w:rPr>
                <w:rFonts w:hint="default" w:eastAsia="宋体"/>
                <w:lang w:val="en-US" w:eastAsia="zh-CN"/>
              </w:rPr>
            </w:pPr>
            <w:r>
              <w:rPr>
                <w:rFonts w:hint="eastAsia" w:eastAsia="宋体"/>
                <w:lang w:val="en-US" w:eastAsia="zh-CN"/>
              </w:rPr>
              <w:t>Declared maximum output power</w:t>
            </w:r>
          </w:p>
        </w:tc>
        <w:tc>
          <w:tcPr>
            <w:tcW w:w="3600" w:type="dxa"/>
            <w:noWrap w:val="0"/>
            <w:vAlign w:val="top"/>
          </w:tcPr>
          <w:p>
            <w:pPr>
              <w:pStyle w:val="33"/>
              <w:rPr>
                <w:rFonts w:cs="v5.0.0"/>
              </w:rPr>
            </w:pPr>
            <w:r>
              <w:rPr>
                <w:rFonts w:cs="v5.0.0"/>
              </w:rPr>
              <w:t>5</w:t>
            </w:r>
            <w:r>
              <w:rPr>
                <w:rFonts w:hint="eastAsia" w:eastAsia="宋体" w:cs="v5.0.0"/>
                <w:lang w:val="en-US" w:eastAsia="zh-CN"/>
              </w:rPr>
              <w:t>0</w:t>
            </w:r>
            <w:r>
              <w:rPr>
                <w:rFonts w:cs="v5.0.0"/>
              </w:rPr>
              <w:t xml:space="preserve"> MHz</w:t>
            </w:r>
          </w:p>
        </w:tc>
        <w:tc>
          <w:tcPr>
            <w:tcW w:w="1620" w:type="dxa"/>
            <w:noWrap w:val="0"/>
            <w:vAlign w:val="top"/>
          </w:tcPr>
          <w:p>
            <w:pPr>
              <w:pStyle w:val="33"/>
            </w:pPr>
            <w:r>
              <w:t xml:space="preserve">28 (Note </w:t>
            </w:r>
            <w:r>
              <w:rPr>
                <w:rFonts w:hint="eastAsia" w:eastAsia="宋体"/>
                <w:lang w:val="en-US" w:eastAsia="zh-CN"/>
              </w:rPr>
              <w:t>1</w:t>
            </w:r>
            <w:r>
              <w:t>)</w:t>
            </w:r>
          </w:p>
          <w:p>
            <w:pPr>
              <w:pStyle w:val="33"/>
            </w:pPr>
            <w:r>
              <w:t xml:space="preserve">26 (Note </w:t>
            </w:r>
            <w:r>
              <w:rPr>
                <w:rFonts w:hint="eastAsia" w:eastAsia="宋体"/>
                <w:lang w:val="en-US" w:eastAsia="zh-CN"/>
              </w:rPr>
              <w:t>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noWrap w:val="0"/>
            <w:vAlign w:val="top"/>
          </w:tcPr>
          <w:p>
            <w:pPr>
              <w:pStyle w:val="33"/>
            </w:pPr>
          </w:p>
        </w:tc>
        <w:tc>
          <w:tcPr>
            <w:tcW w:w="2061" w:type="dxa"/>
            <w:noWrap w:val="0"/>
            <w:vAlign w:val="top"/>
          </w:tcPr>
          <w:p>
            <w:pPr>
              <w:pStyle w:val="33"/>
            </w:pPr>
            <w:r>
              <w:rPr>
                <w:rFonts w:hint="eastAsia" w:eastAsia="宋体"/>
                <w:lang w:val="en-US" w:eastAsia="zh-CN"/>
              </w:rPr>
              <w:t>Declared maximum output power</w:t>
            </w:r>
          </w:p>
        </w:tc>
        <w:tc>
          <w:tcPr>
            <w:tcW w:w="3600" w:type="dxa"/>
            <w:noWrap w:val="0"/>
            <w:vAlign w:val="top"/>
          </w:tcPr>
          <w:p>
            <w:pPr>
              <w:pStyle w:val="33"/>
              <w:rPr>
                <w:rFonts w:cs="v5.0.0"/>
              </w:rPr>
            </w:pPr>
            <w:r>
              <w:rPr>
                <w:rFonts w:cs="v5.0.0"/>
              </w:rPr>
              <w:t>10</w:t>
            </w:r>
            <w:r>
              <w:rPr>
                <w:rFonts w:hint="eastAsia" w:eastAsia="宋体" w:cs="v5.0.0"/>
                <w:lang w:val="en-US" w:eastAsia="zh-CN"/>
              </w:rPr>
              <w:t>0</w:t>
            </w:r>
            <w:r>
              <w:rPr>
                <w:rFonts w:cs="v5.0.0"/>
              </w:rPr>
              <w:t xml:space="preserve"> MHz</w:t>
            </w:r>
          </w:p>
        </w:tc>
        <w:tc>
          <w:tcPr>
            <w:tcW w:w="1620" w:type="dxa"/>
            <w:noWrap w:val="0"/>
            <w:vAlign w:val="top"/>
          </w:tcPr>
          <w:p>
            <w:pPr>
              <w:pStyle w:val="33"/>
            </w:pPr>
            <w:r>
              <w:t xml:space="preserve">28 (Note </w:t>
            </w:r>
            <w:r>
              <w:rPr>
                <w:rFonts w:hint="eastAsia" w:eastAsia="宋体"/>
                <w:lang w:val="en-US" w:eastAsia="zh-CN"/>
              </w:rPr>
              <w:t>1</w:t>
            </w:r>
            <w:r>
              <w:t>)</w:t>
            </w:r>
          </w:p>
          <w:p>
            <w:pPr>
              <w:pStyle w:val="33"/>
            </w:pPr>
            <w:r>
              <w:t xml:space="preserve">26 (Note </w:t>
            </w:r>
            <w:r>
              <w:rPr>
                <w:rFonts w:hint="eastAsia" w:eastAsia="宋体"/>
                <w:lang w:val="en-US" w:eastAsia="zh-CN"/>
              </w:rPr>
              <w:t>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noWrap w:val="0"/>
            <w:vAlign w:val="top"/>
          </w:tcPr>
          <w:p>
            <w:pPr>
              <w:pStyle w:val="45"/>
              <w:rPr>
                <w:rFonts w:eastAsia="宋体"/>
                <w:lang w:eastAsia="zh-CN"/>
              </w:rPr>
            </w:pPr>
            <w:r>
              <w:rPr>
                <w:rFonts w:eastAsia="宋体"/>
                <w:lang w:eastAsia="zh-CN"/>
              </w:rPr>
              <w:t xml:space="preserve">NOTE </w:t>
            </w:r>
            <w:r>
              <w:rPr>
                <w:rFonts w:hint="eastAsia" w:eastAsia="宋体"/>
                <w:lang w:val="en-US" w:eastAsia="zh-CN"/>
              </w:rPr>
              <w:t>1</w:t>
            </w:r>
            <w:r>
              <w:rPr>
                <w:rFonts w:eastAsia="宋体"/>
                <w:lang w:eastAsia="zh-CN"/>
              </w:rPr>
              <w:t>:</w:t>
            </w:r>
            <w:r>
              <w:rPr>
                <w:rFonts w:eastAsia="宋体"/>
                <w:lang w:eastAsia="zh-CN"/>
              </w:rPr>
              <w:tab/>
            </w:r>
            <w:r>
              <w:rPr>
                <w:rFonts w:eastAsia="宋体"/>
                <w:lang w:eastAsia="zh-CN"/>
              </w:rPr>
              <w:t>Applicable to bands defined within the frequency spectrum range of 24.25 – 33.4 GHz.</w:t>
            </w:r>
          </w:p>
          <w:p>
            <w:pPr>
              <w:pStyle w:val="45"/>
              <w:rPr>
                <w:rFonts w:hint="eastAsia" w:eastAsia="宋体" w:cs="v5.0.0"/>
                <w:lang w:val="en-US" w:eastAsia="zh-CN"/>
              </w:rPr>
            </w:pPr>
            <w:r>
              <w:rPr>
                <w:rFonts w:eastAsia="宋体"/>
                <w:lang w:eastAsia="zh-CN"/>
              </w:rPr>
              <w:t xml:space="preserve">NOTE </w:t>
            </w:r>
            <w:r>
              <w:rPr>
                <w:rFonts w:hint="eastAsia" w:eastAsia="宋体"/>
                <w:lang w:val="en-US" w:eastAsia="zh-CN"/>
              </w:rPr>
              <w:t>2</w:t>
            </w:r>
            <w:r>
              <w:rPr>
                <w:rFonts w:eastAsia="宋体"/>
                <w:lang w:eastAsia="zh-CN"/>
              </w:rPr>
              <w:t>:</w:t>
            </w:r>
            <w:r>
              <w:rPr>
                <w:rFonts w:eastAsia="宋体"/>
                <w:lang w:eastAsia="zh-CN"/>
              </w:rPr>
              <w:tab/>
            </w:r>
            <w:r>
              <w:rPr>
                <w:rFonts w:eastAsia="宋体"/>
                <w:lang w:eastAsia="zh-CN"/>
              </w:rPr>
              <w:t>Applicable to bands defined within the frequency spectrum range of 37 – 52.6 GHz.</w:t>
            </w:r>
          </w:p>
        </w:tc>
      </w:tr>
    </w:tbl>
    <w:p>
      <w:pPr>
        <w:pStyle w:val="52"/>
        <w:tabs>
          <w:tab w:val="left" w:pos="567"/>
          <w:tab w:val="clear" w:pos="1985"/>
        </w:tabs>
        <w:adjustRightInd w:val="0"/>
        <w:ind w:left="510" w:hanging="510"/>
        <w:rPr>
          <w:highlight w:val="none"/>
        </w:rPr>
      </w:pPr>
      <w:r>
        <w:rPr>
          <w:highlight w:val="none"/>
        </w:rPr>
        <w:t>References</w:t>
      </w:r>
    </w:p>
    <w:p>
      <w:pPr>
        <w:pStyle w:val="50"/>
        <w:numPr>
          <w:ilvl w:val="0"/>
          <w:numId w:val="5"/>
        </w:numPr>
        <w:rPr>
          <w:rFonts w:ascii="Times New Roman" w:hAnsi="Times New Roman" w:eastAsia="宋体" w:cs="Times New Roman"/>
          <w:sz w:val="20"/>
          <w:szCs w:val="20"/>
          <w:highlight w:val="none"/>
        </w:rPr>
      </w:pPr>
      <w:r>
        <w:rPr>
          <w:rFonts w:hint="eastAsia" w:ascii="Times New Roman" w:hAnsi="Times New Roman" w:eastAsia="宋体" w:cs="Times New Roman"/>
          <w:sz w:val="20"/>
          <w:szCs w:val="20"/>
          <w:highlight w:val="none"/>
          <w:lang w:val="en-US" w:eastAsia="zh-CN"/>
        </w:rPr>
        <w:t>R4-2120666, WF on repeater conducted requirements, approved.</w:t>
      </w:r>
    </w:p>
    <w:p>
      <w:pPr>
        <w:pStyle w:val="50"/>
        <w:numPr>
          <w:ilvl w:val="0"/>
          <w:numId w:val="5"/>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R4-2203027</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WF on NR Repeater radiated requirements</w:t>
      </w:r>
      <w:r>
        <w:rPr>
          <w:rFonts w:hint="eastAsia" w:cs="Times New Roman"/>
          <w:sz w:val="20"/>
          <w:szCs w:val="20"/>
          <w:highlight w:val="none"/>
          <w:lang w:val="en-US" w:eastAsia="zh-CN"/>
        </w:rPr>
        <w:t>, Huawei, Approved.</w:t>
      </w:r>
    </w:p>
    <w:p>
      <w:pPr>
        <w:pStyle w:val="50"/>
        <w:numPr>
          <w:ilvl w:val="0"/>
          <w:numId w:val="0"/>
        </w:numPr>
        <w:rPr>
          <w:rFonts w:ascii="Times New Roman" w:hAnsi="Times New Roman" w:eastAsia="宋体" w:cs="Times New Roman"/>
          <w:sz w:val="20"/>
          <w:szCs w:val="20"/>
          <w:highlight w:val="none"/>
        </w:rPr>
      </w:pPr>
    </w:p>
    <w:p>
      <w:pPr>
        <w:pStyle w:val="50"/>
        <w:numPr>
          <w:ilvl w:val="0"/>
          <w:numId w:val="0"/>
        </w:numPr>
        <w:rPr>
          <w:sz w:val="20"/>
          <w:szCs w:val="20"/>
          <w:highlight w:val="none"/>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v4.1.0">
    <w:altName w:val="Times New Roman"/>
    <w:panose1 w:val="00000000000000000000"/>
    <w:charset w:val="00"/>
    <w:family w:val="roman"/>
    <w:pitch w:val="default"/>
    <w:sig w:usb0="00000000" w:usb1="00000000" w:usb2="00000000" w:usb3="00000000" w:csb0="00040001" w:csb1="00000000"/>
  </w:font>
  <w:font w:name="Calibri">
    <w:panose1 w:val="020F0502020204030204"/>
    <w:charset w:val="01"/>
    <w:family w:val="auto"/>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F46C41A9"/>
    <w:multiLevelType w:val="singleLevel"/>
    <w:tmpl w:val="F46C41A9"/>
    <w:lvl w:ilvl="0" w:tentative="0">
      <w:start w:val="1"/>
      <w:numFmt w:val="bullet"/>
      <w:lvlText w:val="‒"/>
      <w:lvlJc w:val="left"/>
      <w:pPr>
        <w:ind w:left="420" w:leftChars="0" w:hanging="420" w:firstLineChars="0"/>
      </w:pPr>
      <w:rPr>
        <w:rFonts w:hint="default" w:ascii="Arial" w:hAnsi="Arial" w:cs="Arial"/>
      </w:rPr>
    </w:lvl>
  </w:abstractNum>
  <w:abstractNum w:abstractNumId="2">
    <w:nsid w:val="3FF606C7"/>
    <w:multiLevelType w:val="multilevel"/>
    <w:tmpl w:val="3FF606C7"/>
    <w:lvl w:ilvl="0" w:tentative="0">
      <w:start w:val="0"/>
      <w:numFmt w:val="bullet"/>
      <w:lvlText w:val="-"/>
      <w:lvlJc w:val="left"/>
      <w:pPr>
        <w:ind w:left="720" w:hanging="360"/>
      </w:pPr>
      <w:rPr>
        <w:rFonts w:hint="default" w:ascii="Calibri" w:hAnsi="Calibri" w:eastAsia="Calibri"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2068B"/>
    <w:rsid w:val="01133912"/>
    <w:rsid w:val="011B7946"/>
    <w:rsid w:val="012A6A7A"/>
    <w:rsid w:val="013A4C94"/>
    <w:rsid w:val="01442D89"/>
    <w:rsid w:val="01594895"/>
    <w:rsid w:val="015C06BF"/>
    <w:rsid w:val="015F5FA3"/>
    <w:rsid w:val="016800B9"/>
    <w:rsid w:val="01791D2E"/>
    <w:rsid w:val="01821D8F"/>
    <w:rsid w:val="018C2266"/>
    <w:rsid w:val="018C3642"/>
    <w:rsid w:val="018C719B"/>
    <w:rsid w:val="018D7DCE"/>
    <w:rsid w:val="0195201D"/>
    <w:rsid w:val="019C3DA8"/>
    <w:rsid w:val="01A402CD"/>
    <w:rsid w:val="01A742A2"/>
    <w:rsid w:val="01BE34DB"/>
    <w:rsid w:val="01BE6ACE"/>
    <w:rsid w:val="01C027D4"/>
    <w:rsid w:val="01C32135"/>
    <w:rsid w:val="01CB7A2C"/>
    <w:rsid w:val="01D518FC"/>
    <w:rsid w:val="01E1598F"/>
    <w:rsid w:val="01E268ED"/>
    <w:rsid w:val="01EB414A"/>
    <w:rsid w:val="01ED0229"/>
    <w:rsid w:val="01F33D9D"/>
    <w:rsid w:val="01F60577"/>
    <w:rsid w:val="020F4070"/>
    <w:rsid w:val="021042F2"/>
    <w:rsid w:val="021D2604"/>
    <w:rsid w:val="02293A2A"/>
    <w:rsid w:val="022F6559"/>
    <w:rsid w:val="022F66E0"/>
    <w:rsid w:val="0238292F"/>
    <w:rsid w:val="024C13AB"/>
    <w:rsid w:val="025732DD"/>
    <w:rsid w:val="028748E0"/>
    <w:rsid w:val="02892A7A"/>
    <w:rsid w:val="029342BD"/>
    <w:rsid w:val="02B06DC0"/>
    <w:rsid w:val="02B31189"/>
    <w:rsid w:val="02C86D51"/>
    <w:rsid w:val="02CE3DD2"/>
    <w:rsid w:val="02DC6BBC"/>
    <w:rsid w:val="02E3271D"/>
    <w:rsid w:val="02E929C0"/>
    <w:rsid w:val="02F573DC"/>
    <w:rsid w:val="02F95CD1"/>
    <w:rsid w:val="030150CB"/>
    <w:rsid w:val="031712C4"/>
    <w:rsid w:val="03186045"/>
    <w:rsid w:val="031E0FAC"/>
    <w:rsid w:val="031E4C95"/>
    <w:rsid w:val="032E4DBB"/>
    <w:rsid w:val="0332111E"/>
    <w:rsid w:val="03332CAE"/>
    <w:rsid w:val="03343BC7"/>
    <w:rsid w:val="033F52A3"/>
    <w:rsid w:val="03402EB3"/>
    <w:rsid w:val="0354325C"/>
    <w:rsid w:val="035C4C68"/>
    <w:rsid w:val="03640398"/>
    <w:rsid w:val="03651217"/>
    <w:rsid w:val="03687ADD"/>
    <w:rsid w:val="036A231E"/>
    <w:rsid w:val="03774924"/>
    <w:rsid w:val="037E2C94"/>
    <w:rsid w:val="03822F79"/>
    <w:rsid w:val="0395764C"/>
    <w:rsid w:val="039B69FD"/>
    <w:rsid w:val="03A32E58"/>
    <w:rsid w:val="03BE12AC"/>
    <w:rsid w:val="03C0647A"/>
    <w:rsid w:val="03CD06E1"/>
    <w:rsid w:val="03CD6E1F"/>
    <w:rsid w:val="03D4427A"/>
    <w:rsid w:val="03E54642"/>
    <w:rsid w:val="03F54B29"/>
    <w:rsid w:val="03FF3D36"/>
    <w:rsid w:val="04034FE6"/>
    <w:rsid w:val="041875C1"/>
    <w:rsid w:val="04193A43"/>
    <w:rsid w:val="04252816"/>
    <w:rsid w:val="04376B0F"/>
    <w:rsid w:val="0439055E"/>
    <w:rsid w:val="0444783F"/>
    <w:rsid w:val="044753DC"/>
    <w:rsid w:val="045C0E21"/>
    <w:rsid w:val="045E1DEE"/>
    <w:rsid w:val="04605B56"/>
    <w:rsid w:val="04786ED3"/>
    <w:rsid w:val="048829D4"/>
    <w:rsid w:val="051034CD"/>
    <w:rsid w:val="051F43BC"/>
    <w:rsid w:val="053E1AC2"/>
    <w:rsid w:val="0545651B"/>
    <w:rsid w:val="05583DC1"/>
    <w:rsid w:val="05804262"/>
    <w:rsid w:val="05816D10"/>
    <w:rsid w:val="058E6ED4"/>
    <w:rsid w:val="05930F73"/>
    <w:rsid w:val="05940F3F"/>
    <w:rsid w:val="05991C8F"/>
    <w:rsid w:val="05A706E9"/>
    <w:rsid w:val="05B173DC"/>
    <w:rsid w:val="05B27D07"/>
    <w:rsid w:val="05B658ED"/>
    <w:rsid w:val="05BC079D"/>
    <w:rsid w:val="05BE42A5"/>
    <w:rsid w:val="05D16BC6"/>
    <w:rsid w:val="05E660EA"/>
    <w:rsid w:val="05E73462"/>
    <w:rsid w:val="05EE3B4E"/>
    <w:rsid w:val="05FA1213"/>
    <w:rsid w:val="05FF3135"/>
    <w:rsid w:val="060D249E"/>
    <w:rsid w:val="06111076"/>
    <w:rsid w:val="062D742E"/>
    <w:rsid w:val="06474EFD"/>
    <w:rsid w:val="06493A8C"/>
    <w:rsid w:val="064A35EA"/>
    <w:rsid w:val="064B521E"/>
    <w:rsid w:val="064C2727"/>
    <w:rsid w:val="065740AF"/>
    <w:rsid w:val="06735C62"/>
    <w:rsid w:val="06750A00"/>
    <w:rsid w:val="067570AB"/>
    <w:rsid w:val="067B39B4"/>
    <w:rsid w:val="067D28AB"/>
    <w:rsid w:val="06805AC5"/>
    <w:rsid w:val="06836FEC"/>
    <w:rsid w:val="068523FB"/>
    <w:rsid w:val="068C6317"/>
    <w:rsid w:val="069B1966"/>
    <w:rsid w:val="06A32A23"/>
    <w:rsid w:val="06A55EB9"/>
    <w:rsid w:val="06AE0568"/>
    <w:rsid w:val="06AF3508"/>
    <w:rsid w:val="06B548E2"/>
    <w:rsid w:val="06BA7F49"/>
    <w:rsid w:val="06BB4F9D"/>
    <w:rsid w:val="06C72EBF"/>
    <w:rsid w:val="06CD3A64"/>
    <w:rsid w:val="06F30672"/>
    <w:rsid w:val="06F35A7A"/>
    <w:rsid w:val="06F35AB6"/>
    <w:rsid w:val="06F66B05"/>
    <w:rsid w:val="0708086F"/>
    <w:rsid w:val="07220D76"/>
    <w:rsid w:val="07234E4E"/>
    <w:rsid w:val="072B7E46"/>
    <w:rsid w:val="072F2139"/>
    <w:rsid w:val="07436058"/>
    <w:rsid w:val="074E566F"/>
    <w:rsid w:val="074F3DF9"/>
    <w:rsid w:val="07537C92"/>
    <w:rsid w:val="075670A4"/>
    <w:rsid w:val="075E667A"/>
    <w:rsid w:val="07660D5A"/>
    <w:rsid w:val="07665169"/>
    <w:rsid w:val="076F4BA4"/>
    <w:rsid w:val="07731BE6"/>
    <w:rsid w:val="077F542D"/>
    <w:rsid w:val="077F5D16"/>
    <w:rsid w:val="07817B19"/>
    <w:rsid w:val="07916BE4"/>
    <w:rsid w:val="07A2728D"/>
    <w:rsid w:val="07AA3E51"/>
    <w:rsid w:val="07BB6169"/>
    <w:rsid w:val="07BE51B2"/>
    <w:rsid w:val="07D835FB"/>
    <w:rsid w:val="07DD018B"/>
    <w:rsid w:val="07E014BE"/>
    <w:rsid w:val="07E04AA8"/>
    <w:rsid w:val="07E85751"/>
    <w:rsid w:val="07ED5339"/>
    <w:rsid w:val="0800676F"/>
    <w:rsid w:val="08171593"/>
    <w:rsid w:val="0835476E"/>
    <w:rsid w:val="08367FC2"/>
    <w:rsid w:val="08391661"/>
    <w:rsid w:val="084E0029"/>
    <w:rsid w:val="08550FFB"/>
    <w:rsid w:val="085D6C7E"/>
    <w:rsid w:val="08611CAF"/>
    <w:rsid w:val="08612188"/>
    <w:rsid w:val="0865781A"/>
    <w:rsid w:val="0866133E"/>
    <w:rsid w:val="08692F64"/>
    <w:rsid w:val="087716A2"/>
    <w:rsid w:val="087A4F84"/>
    <w:rsid w:val="087E046C"/>
    <w:rsid w:val="08813C88"/>
    <w:rsid w:val="08942BDF"/>
    <w:rsid w:val="089852F1"/>
    <w:rsid w:val="08990610"/>
    <w:rsid w:val="089B5449"/>
    <w:rsid w:val="089D6B7D"/>
    <w:rsid w:val="08B21918"/>
    <w:rsid w:val="08B40442"/>
    <w:rsid w:val="08B94847"/>
    <w:rsid w:val="08C14001"/>
    <w:rsid w:val="08F5200D"/>
    <w:rsid w:val="09016732"/>
    <w:rsid w:val="090F29F2"/>
    <w:rsid w:val="09127CF4"/>
    <w:rsid w:val="092234B5"/>
    <w:rsid w:val="092C26C9"/>
    <w:rsid w:val="09334A3F"/>
    <w:rsid w:val="094109B5"/>
    <w:rsid w:val="0946669B"/>
    <w:rsid w:val="0953050B"/>
    <w:rsid w:val="09546457"/>
    <w:rsid w:val="09582472"/>
    <w:rsid w:val="096308E4"/>
    <w:rsid w:val="096913F9"/>
    <w:rsid w:val="096B649C"/>
    <w:rsid w:val="096F18AA"/>
    <w:rsid w:val="096F1D52"/>
    <w:rsid w:val="09713F26"/>
    <w:rsid w:val="097201F9"/>
    <w:rsid w:val="09796C44"/>
    <w:rsid w:val="098344BC"/>
    <w:rsid w:val="09846B33"/>
    <w:rsid w:val="098A1B59"/>
    <w:rsid w:val="099D22A1"/>
    <w:rsid w:val="09A64698"/>
    <w:rsid w:val="09AC5074"/>
    <w:rsid w:val="09AD07F3"/>
    <w:rsid w:val="09B14A34"/>
    <w:rsid w:val="09C346F5"/>
    <w:rsid w:val="09CD6A58"/>
    <w:rsid w:val="09E14486"/>
    <w:rsid w:val="09F1407D"/>
    <w:rsid w:val="09F21427"/>
    <w:rsid w:val="0A093274"/>
    <w:rsid w:val="0A145E2C"/>
    <w:rsid w:val="0A223227"/>
    <w:rsid w:val="0A22459E"/>
    <w:rsid w:val="0A2705E1"/>
    <w:rsid w:val="0A2A6A0B"/>
    <w:rsid w:val="0A312533"/>
    <w:rsid w:val="0A335E1D"/>
    <w:rsid w:val="0A3A0D5D"/>
    <w:rsid w:val="0A5056C6"/>
    <w:rsid w:val="0A5060D6"/>
    <w:rsid w:val="0A5F4C2E"/>
    <w:rsid w:val="0A7200B0"/>
    <w:rsid w:val="0A771CA5"/>
    <w:rsid w:val="0A7F11A2"/>
    <w:rsid w:val="0A843B9D"/>
    <w:rsid w:val="0A8621F2"/>
    <w:rsid w:val="0A8C711B"/>
    <w:rsid w:val="0A8F1F9F"/>
    <w:rsid w:val="0A9B6BF5"/>
    <w:rsid w:val="0AAB401F"/>
    <w:rsid w:val="0AB329A9"/>
    <w:rsid w:val="0ABA55D8"/>
    <w:rsid w:val="0AC23AEF"/>
    <w:rsid w:val="0ACD4245"/>
    <w:rsid w:val="0AD57FD6"/>
    <w:rsid w:val="0AD84FAB"/>
    <w:rsid w:val="0ADD7B55"/>
    <w:rsid w:val="0B0569D0"/>
    <w:rsid w:val="0B060D5F"/>
    <w:rsid w:val="0B110AC0"/>
    <w:rsid w:val="0B1157EF"/>
    <w:rsid w:val="0B155EAD"/>
    <w:rsid w:val="0B1765E0"/>
    <w:rsid w:val="0B1C1D7C"/>
    <w:rsid w:val="0B1D3582"/>
    <w:rsid w:val="0B22066E"/>
    <w:rsid w:val="0B2643BE"/>
    <w:rsid w:val="0B3F2432"/>
    <w:rsid w:val="0B4D5218"/>
    <w:rsid w:val="0B622E13"/>
    <w:rsid w:val="0B651A68"/>
    <w:rsid w:val="0B717521"/>
    <w:rsid w:val="0B884E90"/>
    <w:rsid w:val="0B892782"/>
    <w:rsid w:val="0B936E39"/>
    <w:rsid w:val="0BB2460A"/>
    <w:rsid w:val="0BB41CFB"/>
    <w:rsid w:val="0BB53F3C"/>
    <w:rsid w:val="0BC739F0"/>
    <w:rsid w:val="0BDB5584"/>
    <w:rsid w:val="0BE03DAA"/>
    <w:rsid w:val="0BE17727"/>
    <w:rsid w:val="0BF427F9"/>
    <w:rsid w:val="0C0C632D"/>
    <w:rsid w:val="0C120111"/>
    <w:rsid w:val="0C12447E"/>
    <w:rsid w:val="0C1D0A79"/>
    <w:rsid w:val="0C37145B"/>
    <w:rsid w:val="0C3C0AB0"/>
    <w:rsid w:val="0C52301A"/>
    <w:rsid w:val="0C573449"/>
    <w:rsid w:val="0C576E02"/>
    <w:rsid w:val="0C5C02D0"/>
    <w:rsid w:val="0C6038EF"/>
    <w:rsid w:val="0C654C73"/>
    <w:rsid w:val="0C663BE3"/>
    <w:rsid w:val="0C6F4C5F"/>
    <w:rsid w:val="0C751214"/>
    <w:rsid w:val="0C780533"/>
    <w:rsid w:val="0C780F1E"/>
    <w:rsid w:val="0C85742B"/>
    <w:rsid w:val="0C873353"/>
    <w:rsid w:val="0C8B4B61"/>
    <w:rsid w:val="0C9A4387"/>
    <w:rsid w:val="0C9D3F03"/>
    <w:rsid w:val="0CA1546A"/>
    <w:rsid w:val="0CA41F35"/>
    <w:rsid w:val="0CA92BAC"/>
    <w:rsid w:val="0CB471A1"/>
    <w:rsid w:val="0CB90F2E"/>
    <w:rsid w:val="0D0213CD"/>
    <w:rsid w:val="0D04575D"/>
    <w:rsid w:val="0D0612B8"/>
    <w:rsid w:val="0D066A9C"/>
    <w:rsid w:val="0D0714BC"/>
    <w:rsid w:val="0D136EF9"/>
    <w:rsid w:val="0D1A52C8"/>
    <w:rsid w:val="0D1C1D16"/>
    <w:rsid w:val="0D2454BF"/>
    <w:rsid w:val="0D2767B5"/>
    <w:rsid w:val="0D3E327E"/>
    <w:rsid w:val="0D5800C7"/>
    <w:rsid w:val="0D6A353C"/>
    <w:rsid w:val="0D854A3E"/>
    <w:rsid w:val="0D904522"/>
    <w:rsid w:val="0D976014"/>
    <w:rsid w:val="0DA060E8"/>
    <w:rsid w:val="0DBD14D2"/>
    <w:rsid w:val="0DCE36F3"/>
    <w:rsid w:val="0DD621E4"/>
    <w:rsid w:val="0DDE1317"/>
    <w:rsid w:val="0DEE77C3"/>
    <w:rsid w:val="0DFF2594"/>
    <w:rsid w:val="0E0313B1"/>
    <w:rsid w:val="0E062A96"/>
    <w:rsid w:val="0E0D1A47"/>
    <w:rsid w:val="0E176FCD"/>
    <w:rsid w:val="0E3217E8"/>
    <w:rsid w:val="0E387AA5"/>
    <w:rsid w:val="0E3F0E9A"/>
    <w:rsid w:val="0E400D03"/>
    <w:rsid w:val="0E5E2B07"/>
    <w:rsid w:val="0E771E51"/>
    <w:rsid w:val="0E7A2A61"/>
    <w:rsid w:val="0E7F3E5B"/>
    <w:rsid w:val="0E803828"/>
    <w:rsid w:val="0E8118C0"/>
    <w:rsid w:val="0E9A17E3"/>
    <w:rsid w:val="0E9F1924"/>
    <w:rsid w:val="0EA11114"/>
    <w:rsid w:val="0EA35AC0"/>
    <w:rsid w:val="0EA633D1"/>
    <w:rsid w:val="0EB34961"/>
    <w:rsid w:val="0EB9447E"/>
    <w:rsid w:val="0EC468A2"/>
    <w:rsid w:val="0ECB4F99"/>
    <w:rsid w:val="0ECC4066"/>
    <w:rsid w:val="0ECE7C5F"/>
    <w:rsid w:val="0EDA48C8"/>
    <w:rsid w:val="0EE7577C"/>
    <w:rsid w:val="0EF75D05"/>
    <w:rsid w:val="0EFE2ACB"/>
    <w:rsid w:val="0F0D240A"/>
    <w:rsid w:val="0F12247A"/>
    <w:rsid w:val="0F1D0ECD"/>
    <w:rsid w:val="0F3452E0"/>
    <w:rsid w:val="0F364BC2"/>
    <w:rsid w:val="0F3A630E"/>
    <w:rsid w:val="0F3B1C05"/>
    <w:rsid w:val="0F455F85"/>
    <w:rsid w:val="0F49564D"/>
    <w:rsid w:val="0F4D1918"/>
    <w:rsid w:val="0F5075AE"/>
    <w:rsid w:val="0F521719"/>
    <w:rsid w:val="0F584757"/>
    <w:rsid w:val="0F67226B"/>
    <w:rsid w:val="0F6A1108"/>
    <w:rsid w:val="0F6E6542"/>
    <w:rsid w:val="0F704CEF"/>
    <w:rsid w:val="0F7C4621"/>
    <w:rsid w:val="0F7E4DAF"/>
    <w:rsid w:val="0F801541"/>
    <w:rsid w:val="0F80243B"/>
    <w:rsid w:val="0F842AF1"/>
    <w:rsid w:val="0FA26E81"/>
    <w:rsid w:val="0FAC71D9"/>
    <w:rsid w:val="0FAD0019"/>
    <w:rsid w:val="0FAD3299"/>
    <w:rsid w:val="0FB261C9"/>
    <w:rsid w:val="0FB31343"/>
    <w:rsid w:val="0FC12836"/>
    <w:rsid w:val="0FD95333"/>
    <w:rsid w:val="0FEC322B"/>
    <w:rsid w:val="0FEC6EF6"/>
    <w:rsid w:val="10045EE6"/>
    <w:rsid w:val="10154FE6"/>
    <w:rsid w:val="101711A7"/>
    <w:rsid w:val="1023666E"/>
    <w:rsid w:val="1035409F"/>
    <w:rsid w:val="1035503C"/>
    <w:rsid w:val="1037078D"/>
    <w:rsid w:val="103A7991"/>
    <w:rsid w:val="10413A4E"/>
    <w:rsid w:val="10462479"/>
    <w:rsid w:val="104B2D15"/>
    <w:rsid w:val="10613177"/>
    <w:rsid w:val="10674DB0"/>
    <w:rsid w:val="106D678B"/>
    <w:rsid w:val="107374A2"/>
    <w:rsid w:val="10746083"/>
    <w:rsid w:val="10774625"/>
    <w:rsid w:val="10836F99"/>
    <w:rsid w:val="10886883"/>
    <w:rsid w:val="108A2129"/>
    <w:rsid w:val="10924B2D"/>
    <w:rsid w:val="10942617"/>
    <w:rsid w:val="10953B42"/>
    <w:rsid w:val="10AC7D80"/>
    <w:rsid w:val="10B7486E"/>
    <w:rsid w:val="10CC5735"/>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875D78"/>
    <w:rsid w:val="11996649"/>
    <w:rsid w:val="11AC7561"/>
    <w:rsid w:val="11AF439E"/>
    <w:rsid w:val="11B50817"/>
    <w:rsid w:val="11B66269"/>
    <w:rsid w:val="11BA0839"/>
    <w:rsid w:val="11BE28C2"/>
    <w:rsid w:val="11EE4F27"/>
    <w:rsid w:val="11F267E8"/>
    <w:rsid w:val="11F427FC"/>
    <w:rsid w:val="1210456D"/>
    <w:rsid w:val="12134828"/>
    <w:rsid w:val="12143598"/>
    <w:rsid w:val="121729B6"/>
    <w:rsid w:val="121E6EC0"/>
    <w:rsid w:val="122A6318"/>
    <w:rsid w:val="122C6138"/>
    <w:rsid w:val="123616D6"/>
    <w:rsid w:val="12396B0A"/>
    <w:rsid w:val="123A52C3"/>
    <w:rsid w:val="125A02CC"/>
    <w:rsid w:val="12845278"/>
    <w:rsid w:val="128E70AD"/>
    <w:rsid w:val="129D41B7"/>
    <w:rsid w:val="12A45BB3"/>
    <w:rsid w:val="12AC51B9"/>
    <w:rsid w:val="12B1068C"/>
    <w:rsid w:val="12B5075C"/>
    <w:rsid w:val="12BC3C60"/>
    <w:rsid w:val="12C77089"/>
    <w:rsid w:val="12CB4026"/>
    <w:rsid w:val="12D16C9D"/>
    <w:rsid w:val="12D20ECB"/>
    <w:rsid w:val="12D93C20"/>
    <w:rsid w:val="12DD694C"/>
    <w:rsid w:val="12DF0C5E"/>
    <w:rsid w:val="12E51F0A"/>
    <w:rsid w:val="12F538D3"/>
    <w:rsid w:val="12F85F0D"/>
    <w:rsid w:val="1306326A"/>
    <w:rsid w:val="131046DE"/>
    <w:rsid w:val="131B2229"/>
    <w:rsid w:val="131B463A"/>
    <w:rsid w:val="131D12BF"/>
    <w:rsid w:val="13257182"/>
    <w:rsid w:val="132625C2"/>
    <w:rsid w:val="132A7435"/>
    <w:rsid w:val="132E3A3B"/>
    <w:rsid w:val="13303585"/>
    <w:rsid w:val="133B5756"/>
    <w:rsid w:val="135F5E4E"/>
    <w:rsid w:val="137F1B10"/>
    <w:rsid w:val="1382164E"/>
    <w:rsid w:val="13913843"/>
    <w:rsid w:val="13962CE5"/>
    <w:rsid w:val="13A62921"/>
    <w:rsid w:val="13AB3B97"/>
    <w:rsid w:val="13B35E26"/>
    <w:rsid w:val="13B66BD2"/>
    <w:rsid w:val="13BF66BA"/>
    <w:rsid w:val="13CA31CB"/>
    <w:rsid w:val="13CC0353"/>
    <w:rsid w:val="13CD1105"/>
    <w:rsid w:val="13D765AD"/>
    <w:rsid w:val="13DC36E2"/>
    <w:rsid w:val="13FE285E"/>
    <w:rsid w:val="1410395F"/>
    <w:rsid w:val="14220CA7"/>
    <w:rsid w:val="143802F8"/>
    <w:rsid w:val="144442DA"/>
    <w:rsid w:val="144C6544"/>
    <w:rsid w:val="14812D74"/>
    <w:rsid w:val="14836C15"/>
    <w:rsid w:val="14862300"/>
    <w:rsid w:val="148C00A0"/>
    <w:rsid w:val="148D3653"/>
    <w:rsid w:val="149E0A7B"/>
    <w:rsid w:val="14A82A63"/>
    <w:rsid w:val="14A86EA4"/>
    <w:rsid w:val="14AC358C"/>
    <w:rsid w:val="14B76730"/>
    <w:rsid w:val="14C767C8"/>
    <w:rsid w:val="14DE753E"/>
    <w:rsid w:val="14F51028"/>
    <w:rsid w:val="14F549EC"/>
    <w:rsid w:val="14F92549"/>
    <w:rsid w:val="14FB4950"/>
    <w:rsid w:val="14FD4800"/>
    <w:rsid w:val="15157DF4"/>
    <w:rsid w:val="151B0462"/>
    <w:rsid w:val="151C45D8"/>
    <w:rsid w:val="15290336"/>
    <w:rsid w:val="155424D6"/>
    <w:rsid w:val="155605E9"/>
    <w:rsid w:val="15584289"/>
    <w:rsid w:val="155B1745"/>
    <w:rsid w:val="155C3B21"/>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D4474D"/>
    <w:rsid w:val="15D7597F"/>
    <w:rsid w:val="15E613C9"/>
    <w:rsid w:val="160C437B"/>
    <w:rsid w:val="16160429"/>
    <w:rsid w:val="161C3234"/>
    <w:rsid w:val="161E1557"/>
    <w:rsid w:val="163562A4"/>
    <w:rsid w:val="1636003F"/>
    <w:rsid w:val="1641433F"/>
    <w:rsid w:val="164D6264"/>
    <w:rsid w:val="165511E0"/>
    <w:rsid w:val="165C4863"/>
    <w:rsid w:val="1663476A"/>
    <w:rsid w:val="166C0D1B"/>
    <w:rsid w:val="166E1C29"/>
    <w:rsid w:val="16727B66"/>
    <w:rsid w:val="167344C7"/>
    <w:rsid w:val="16780DA5"/>
    <w:rsid w:val="16794785"/>
    <w:rsid w:val="16853FE3"/>
    <w:rsid w:val="1695742C"/>
    <w:rsid w:val="169D1595"/>
    <w:rsid w:val="16A65B92"/>
    <w:rsid w:val="16AD0A57"/>
    <w:rsid w:val="16BA18A0"/>
    <w:rsid w:val="16BD160C"/>
    <w:rsid w:val="16C41FCF"/>
    <w:rsid w:val="16C454F7"/>
    <w:rsid w:val="16DC6856"/>
    <w:rsid w:val="16E7220A"/>
    <w:rsid w:val="16F7773E"/>
    <w:rsid w:val="16FD7F89"/>
    <w:rsid w:val="170133DA"/>
    <w:rsid w:val="170259E1"/>
    <w:rsid w:val="17026088"/>
    <w:rsid w:val="170353FD"/>
    <w:rsid w:val="17056BCC"/>
    <w:rsid w:val="171053FC"/>
    <w:rsid w:val="17270C0D"/>
    <w:rsid w:val="17343071"/>
    <w:rsid w:val="17350245"/>
    <w:rsid w:val="17382580"/>
    <w:rsid w:val="17595246"/>
    <w:rsid w:val="175E4288"/>
    <w:rsid w:val="175F6489"/>
    <w:rsid w:val="176C704A"/>
    <w:rsid w:val="17844C56"/>
    <w:rsid w:val="17957384"/>
    <w:rsid w:val="17A30F12"/>
    <w:rsid w:val="17B57B6C"/>
    <w:rsid w:val="17BA48D6"/>
    <w:rsid w:val="17C535A1"/>
    <w:rsid w:val="17CD5EE0"/>
    <w:rsid w:val="17D77CA7"/>
    <w:rsid w:val="17DD34AB"/>
    <w:rsid w:val="17F223D1"/>
    <w:rsid w:val="17F55887"/>
    <w:rsid w:val="17FC272C"/>
    <w:rsid w:val="17FE0B0A"/>
    <w:rsid w:val="17FE0C9F"/>
    <w:rsid w:val="17FF3C9D"/>
    <w:rsid w:val="180A527C"/>
    <w:rsid w:val="18157481"/>
    <w:rsid w:val="181B3A35"/>
    <w:rsid w:val="18235E85"/>
    <w:rsid w:val="18331DAD"/>
    <w:rsid w:val="183D2383"/>
    <w:rsid w:val="183E4121"/>
    <w:rsid w:val="18420253"/>
    <w:rsid w:val="186B15D6"/>
    <w:rsid w:val="186C1DBE"/>
    <w:rsid w:val="186C5153"/>
    <w:rsid w:val="186E738D"/>
    <w:rsid w:val="187640ED"/>
    <w:rsid w:val="18804AA7"/>
    <w:rsid w:val="18A16B9A"/>
    <w:rsid w:val="18AB1905"/>
    <w:rsid w:val="18AC724D"/>
    <w:rsid w:val="18AF5199"/>
    <w:rsid w:val="18AF7C5B"/>
    <w:rsid w:val="18B417E1"/>
    <w:rsid w:val="18C9246D"/>
    <w:rsid w:val="18D979C0"/>
    <w:rsid w:val="18E67034"/>
    <w:rsid w:val="18E872D7"/>
    <w:rsid w:val="18F3471F"/>
    <w:rsid w:val="18F931E6"/>
    <w:rsid w:val="18FA042B"/>
    <w:rsid w:val="18FE4771"/>
    <w:rsid w:val="19046384"/>
    <w:rsid w:val="190555C7"/>
    <w:rsid w:val="191558F5"/>
    <w:rsid w:val="19191340"/>
    <w:rsid w:val="19200B97"/>
    <w:rsid w:val="19267DCF"/>
    <w:rsid w:val="192A5704"/>
    <w:rsid w:val="193774B0"/>
    <w:rsid w:val="19463146"/>
    <w:rsid w:val="194A1ACB"/>
    <w:rsid w:val="194C176F"/>
    <w:rsid w:val="19521210"/>
    <w:rsid w:val="19537076"/>
    <w:rsid w:val="195621A4"/>
    <w:rsid w:val="19564B19"/>
    <w:rsid w:val="195E2D4F"/>
    <w:rsid w:val="195F336A"/>
    <w:rsid w:val="196A0432"/>
    <w:rsid w:val="196B2258"/>
    <w:rsid w:val="19720BF1"/>
    <w:rsid w:val="19764535"/>
    <w:rsid w:val="19821420"/>
    <w:rsid w:val="198374F4"/>
    <w:rsid w:val="1989194D"/>
    <w:rsid w:val="19894C83"/>
    <w:rsid w:val="19A7296F"/>
    <w:rsid w:val="19B94DE5"/>
    <w:rsid w:val="19BB7983"/>
    <w:rsid w:val="19CA4702"/>
    <w:rsid w:val="19D76F77"/>
    <w:rsid w:val="19DE7440"/>
    <w:rsid w:val="19ED386F"/>
    <w:rsid w:val="19FF1298"/>
    <w:rsid w:val="1A045B87"/>
    <w:rsid w:val="1A484A02"/>
    <w:rsid w:val="1A4D1CE1"/>
    <w:rsid w:val="1A5760FC"/>
    <w:rsid w:val="1A5F7253"/>
    <w:rsid w:val="1A6A0EEA"/>
    <w:rsid w:val="1A6D22C8"/>
    <w:rsid w:val="1A725418"/>
    <w:rsid w:val="1A7A2EF9"/>
    <w:rsid w:val="1A7F4EDC"/>
    <w:rsid w:val="1A813E2C"/>
    <w:rsid w:val="1A8F1BFF"/>
    <w:rsid w:val="1A8F2FDB"/>
    <w:rsid w:val="1A960E81"/>
    <w:rsid w:val="1A9A0C93"/>
    <w:rsid w:val="1AB02AE4"/>
    <w:rsid w:val="1AB359A1"/>
    <w:rsid w:val="1ABD31B9"/>
    <w:rsid w:val="1ABF3A95"/>
    <w:rsid w:val="1AC91D4C"/>
    <w:rsid w:val="1ACE2A77"/>
    <w:rsid w:val="1AD55B02"/>
    <w:rsid w:val="1ADA6731"/>
    <w:rsid w:val="1ADC2627"/>
    <w:rsid w:val="1AE4623A"/>
    <w:rsid w:val="1AF06C95"/>
    <w:rsid w:val="1AF34AE5"/>
    <w:rsid w:val="1AF3712C"/>
    <w:rsid w:val="1AF84C8C"/>
    <w:rsid w:val="1AFE2079"/>
    <w:rsid w:val="1B00502A"/>
    <w:rsid w:val="1B08241D"/>
    <w:rsid w:val="1B082CC4"/>
    <w:rsid w:val="1B0B3B20"/>
    <w:rsid w:val="1B1613A0"/>
    <w:rsid w:val="1B226700"/>
    <w:rsid w:val="1B2A7E36"/>
    <w:rsid w:val="1B324397"/>
    <w:rsid w:val="1B372EB9"/>
    <w:rsid w:val="1B39636C"/>
    <w:rsid w:val="1B40005E"/>
    <w:rsid w:val="1B4200F8"/>
    <w:rsid w:val="1B4268B4"/>
    <w:rsid w:val="1B427936"/>
    <w:rsid w:val="1B5D3106"/>
    <w:rsid w:val="1B7906CE"/>
    <w:rsid w:val="1B7D07F3"/>
    <w:rsid w:val="1B831B2B"/>
    <w:rsid w:val="1B944685"/>
    <w:rsid w:val="1BA57F07"/>
    <w:rsid w:val="1BAA3905"/>
    <w:rsid w:val="1BB01F6E"/>
    <w:rsid w:val="1BB848C7"/>
    <w:rsid w:val="1BCA7505"/>
    <w:rsid w:val="1BD91032"/>
    <w:rsid w:val="1BF768CD"/>
    <w:rsid w:val="1BF9326D"/>
    <w:rsid w:val="1BFB4AD5"/>
    <w:rsid w:val="1C036FDA"/>
    <w:rsid w:val="1C08111C"/>
    <w:rsid w:val="1C0B33CB"/>
    <w:rsid w:val="1C0D0258"/>
    <w:rsid w:val="1C0D60C9"/>
    <w:rsid w:val="1C206F70"/>
    <w:rsid w:val="1C33796F"/>
    <w:rsid w:val="1C341EE3"/>
    <w:rsid w:val="1C441419"/>
    <w:rsid w:val="1C4774DD"/>
    <w:rsid w:val="1C561E66"/>
    <w:rsid w:val="1C5E3742"/>
    <w:rsid w:val="1C647A24"/>
    <w:rsid w:val="1C6D4144"/>
    <w:rsid w:val="1C726EC3"/>
    <w:rsid w:val="1C793EB9"/>
    <w:rsid w:val="1C807142"/>
    <w:rsid w:val="1C8D51EC"/>
    <w:rsid w:val="1C90266F"/>
    <w:rsid w:val="1C9A166E"/>
    <w:rsid w:val="1CA02A40"/>
    <w:rsid w:val="1CAA7318"/>
    <w:rsid w:val="1CAD2752"/>
    <w:rsid w:val="1CB702E9"/>
    <w:rsid w:val="1CBA5B32"/>
    <w:rsid w:val="1CBB146E"/>
    <w:rsid w:val="1CBE5026"/>
    <w:rsid w:val="1CD97139"/>
    <w:rsid w:val="1CF333A5"/>
    <w:rsid w:val="1D031DDA"/>
    <w:rsid w:val="1D0B731D"/>
    <w:rsid w:val="1D1F1D0C"/>
    <w:rsid w:val="1D2054C4"/>
    <w:rsid w:val="1D320ED3"/>
    <w:rsid w:val="1D4969F4"/>
    <w:rsid w:val="1D4C117F"/>
    <w:rsid w:val="1D563E2F"/>
    <w:rsid w:val="1D5A17CD"/>
    <w:rsid w:val="1D6033FE"/>
    <w:rsid w:val="1D684015"/>
    <w:rsid w:val="1D6F79AF"/>
    <w:rsid w:val="1D8F5B72"/>
    <w:rsid w:val="1D8F6826"/>
    <w:rsid w:val="1D9C5DA0"/>
    <w:rsid w:val="1D9C7126"/>
    <w:rsid w:val="1D9F462B"/>
    <w:rsid w:val="1DA265B5"/>
    <w:rsid w:val="1DB835A9"/>
    <w:rsid w:val="1DC603E1"/>
    <w:rsid w:val="1DEC45ED"/>
    <w:rsid w:val="1E1D7E95"/>
    <w:rsid w:val="1E224747"/>
    <w:rsid w:val="1E304B88"/>
    <w:rsid w:val="1E3D1B2E"/>
    <w:rsid w:val="1E3E02E7"/>
    <w:rsid w:val="1E6703B7"/>
    <w:rsid w:val="1E680B85"/>
    <w:rsid w:val="1E6B2336"/>
    <w:rsid w:val="1E8B7AD0"/>
    <w:rsid w:val="1E9D4737"/>
    <w:rsid w:val="1E9D55A8"/>
    <w:rsid w:val="1EA13E87"/>
    <w:rsid w:val="1EC11B39"/>
    <w:rsid w:val="1ED94E25"/>
    <w:rsid w:val="1EDB6C5F"/>
    <w:rsid w:val="1EE356AF"/>
    <w:rsid w:val="1EE6740D"/>
    <w:rsid w:val="1EEC1621"/>
    <w:rsid w:val="1EF455FB"/>
    <w:rsid w:val="1F141EF2"/>
    <w:rsid w:val="1F303EA7"/>
    <w:rsid w:val="1F3111CE"/>
    <w:rsid w:val="1F3C6AF7"/>
    <w:rsid w:val="1F405E44"/>
    <w:rsid w:val="1F4A3D83"/>
    <w:rsid w:val="1F4E681F"/>
    <w:rsid w:val="1F5324C1"/>
    <w:rsid w:val="1F661994"/>
    <w:rsid w:val="1F6833F6"/>
    <w:rsid w:val="1F68659A"/>
    <w:rsid w:val="1F7959F4"/>
    <w:rsid w:val="1F7C19E4"/>
    <w:rsid w:val="1F83562C"/>
    <w:rsid w:val="1F9C3E68"/>
    <w:rsid w:val="1FA57984"/>
    <w:rsid w:val="1FA82FF9"/>
    <w:rsid w:val="1FB260BE"/>
    <w:rsid w:val="1FB63655"/>
    <w:rsid w:val="1FBD7AAE"/>
    <w:rsid w:val="1FBE77B2"/>
    <w:rsid w:val="1FC26AB9"/>
    <w:rsid w:val="1FC511F0"/>
    <w:rsid w:val="1FC716AE"/>
    <w:rsid w:val="1FE91483"/>
    <w:rsid w:val="1FED166B"/>
    <w:rsid w:val="1FF05FBA"/>
    <w:rsid w:val="2000119F"/>
    <w:rsid w:val="20023827"/>
    <w:rsid w:val="200535EB"/>
    <w:rsid w:val="20107ED3"/>
    <w:rsid w:val="201359DF"/>
    <w:rsid w:val="20140382"/>
    <w:rsid w:val="201C304F"/>
    <w:rsid w:val="203B1416"/>
    <w:rsid w:val="203C2005"/>
    <w:rsid w:val="20420995"/>
    <w:rsid w:val="204D7AED"/>
    <w:rsid w:val="204F595B"/>
    <w:rsid w:val="206301A7"/>
    <w:rsid w:val="20642E89"/>
    <w:rsid w:val="206F7CD5"/>
    <w:rsid w:val="207376EE"/>
    <w:rsid w:val="207E34E5"/>
    <w:rsid w:val="20850EC1"/>
    <w:rsid w:val="20934FE0"/>
    <w:rsid w:val="209A17A4"/>
    <w:rsid w:val="209E715A"/>
    <w:rsid w:val="20A70ABE"/>
    <w:rsid w:val="20B836F9"/>
    <w:rsid w:val="20C10077"/>
    <w:rsid w:val="20C261C8"/>
    <w:rsid w:val="20C96FD1"/>
    <w:rsid w:val="20CC2666"/>
    <w:rsid w:val="20D562D7"/>
    <w:rsid w:val="20D957D0"/>
    <w:rsid w:val="20DA5281"/>
    <w:rsid w:val="20E35BDE"/>
    <w:rsid w:val="20E9348D"/>
    <w:rsid w:val="20EB3474"/>
    <w:rsid w:val="20F667B9"/>
    <w:rsid w:val="20F74649"/>
    <w:rsid w:val="20F90A4D"/>
    <w:rsid w:val="20FB7568"/>
    <w:rsid w:val="210D2CDA"/>
    <w:rsid w:val="211C7EF8"/>
    <w:rsid w:val="212F6A59"/>
    <w:rsid w:val="21306305"/>
    <w:rsid w:val="213160FC"/>
    <w:rsid w:val="213D54AD"/>
    <w:rsid w:val="214169BB"/>
    <w:rsid w:val="215F7E39"/>
    <w:rsid w:val="217C7971"/>
    <w:rsid w:val="217D44BC"/>
    <w:rsid w:val="21936BCB"/>
    <w:rsid w:val="21997056"/>
    <w:rsid w:val="219B2AEE"/>
    <w:rsid w:val="219D3F2A"/>
    <w:rsid w:val="21A83346"/>
    <w:rsid w:val="21AB4F6A"/>
    <w:rsid w:val="21AB77F7"/>
    <w:rsid w:val="21BF03BC"/>
    <w:rsid w:val="21BF480E"/>
    <w:rsid w:val="21CA711F"/>
    <w:rsid w:val="21D06D34"/>
    <w:rsid w:val="21D52CEC"/>
    <w:rsid w:val="21DB2070"/>
    <w:rsid w:val="21E24249"/>
    <w:rsid w:val="21F54612"/>
    <w:rsid w:val="21FF71D8"/>
    <w:rsid w:val="2209399D"/>
    <w:rsid w:val="22101F8E"/>
    <w:rsid w:val="2225227E"/>
    <w:rsid w:val="22315922"/>
    <w:rsid w:val="22447DBC"/>
    <w:rsid w:val="224E39DE"/>
    <w:rsid w:val="224E74D0"/>
    <w:rsid w:val="225C1E49"/>
    <w:rsid w:val="225F3885"/>
    <w:rsid w:val="227F5037"/>
    <w:rsid w:val="228041D7"/>
    <w:rsid w:val="228A008B"/>
    <w:rsid w:val="229137DC"/>
    <w:rsid w:val="229A7E25"/>
    <w:rsid w:val="22AA0362"/>
    <w:rsid w:val="22B059F5"/>
    <w:rsid w:val="22B06BDB"/>
    <w:rsid w:val="22BA2D5C"/>
    <w:rsid w:val="22BD504B"/>
    <w:rsid w:val="22D61781"/>
    <w:rsid w:val="22E95A8D"/>
    <w:rsid w:val="22F017B2"/>
    <w:rsid w:val="22F97E5B"/>
    <w:rsid w:val="22FA647A"/>
    <w:rsid w:val="23042520"/>
    <w:rsid w:val="230B07F6"/>
    <w:rsid w:val="23121EB6"/>
    <w:rsid w:val="23143B37"/>
    <w:rsid w:val="231544D3"/>
    <w:rsid w:val="231637F9"/>
    <w:rsid w:val="23230E78"/>
    <w:rsid w:val="232C27B2"/>
    <w:rsid w:val="232F4B8E"/>
    <w:rsid w:val="233027B0"/>
    <w:rsid w:val="233108CD"/>
    <w:rsid w:val="23415924"/>
    <w:rsid w:val="23572E7E"/>
    <w:rsid w:val="235867CC"/>
    <w:rsid w:val="235924CA"/>
    <w:rsid w:val="23592D87"/>
    <w:rsid w:val="235F162F"/>
    <w:rsid w:val="236A053E"/>
    <w:rsid w:val="236D4F13"/>
    <w:rsid w:val="237B7D6C"/>
    <w:rsid w:val="23837B67"/>
    <w:rsid w:val="23857493"/>
    <w:rsid w:val="238755B6"/>
    <w:rsid w:val="23885214"/>
    <w:rsid w:val="238B65DE"/>
    <w:rsid w:val="239130F2"/>
    <w:rsid w:val="239B728F"/>
    <w:rsid w:val="23A969AC"/>
    <w:rsid w:val="23AE6E9E"/>
    <w:rsid w:val="23BD6F6C"/>
    <w:rsid w:val="23C62FD3"/>
    <w:rsid w:val="23C80F4A"/>
    <w:rsid w:val="23CE5D21"/>
    <w:rsid w:val="23D33566"/>
    <w:rsid w:val="23D9762E"/>
    <w:rsid w:val="23DF2C6B"/>
    <w:rsid w:val="23E52298"/>
    <w:rsid w:val="23F06611"/>
    <w:rsid w:val="24116EC7"/>
    <w:rsid w:val="24137B5B"/>
    <w:rsid w:val="24176341"/>
    <w:rsid w:val="24211333"/>
    <w:rsid w:val="242461D7"/>
    <w:rsid w:val="242C04D9"/>
    <w:rsid w:val="242E2FF6"/>
    <w:rsid w:val="242E7ECB"/>
    <w:rsid w:val="24401E98"/>
    <w:rsid w:val="244F2484"/>
    <w:rsid w:val="24574CEB"/>
    <w:rsid w:val="245D41D2"/>
    <w:rsid w:val="24667266"/>
    <w:rsid w:val="24731A96"/>
    <w:rsid w:val="247A5C3A"/>
    <w:rsid w:val="247F6CC6"/>
    <w:rsid w:val="248654B3"/>
    <w:rsid w:val="248907B2"/>
    <w:rsid w:val="249A5E20"/>
    <w:rsid w:val="249C2676"/>
    <w:rsid w:val="249C6208"/>
    <w:rsid w:val="249E39E8"/>
    <w:rsid w:val="24A20ED0"/>
    <w:rsid w:val="24BD38BA"/>
    <w:rsid w:val="24D20A06"/>
    <w:rsid w:val="24D51CDF"/>
    <w:rsid w:val="24F17428"/>
    <w:rsid w:val="250C5C6A"/>
    <w:rsid w:val="251E0656"/>
    <w:rsid w:val="252053F9"/>
    <w:rsid w:val="25281420"/>
    <w:rsid w:val="25395126"/>
    <w:rsid w:val="25467DBB"/>
    <w:rsid w:val="25473E3C"/>
    <w:rsid w:val="254C4068"/>
    <w:rsid w:val="254E34FC"/>
    <w:rsid w:val="256343AC"/>
    <w:rsid w:val="25771B32"/>
    <w:rsid w:val="257F18B5"/>
    <w:rsid w:val="25805FF5"/>
    <w:rsid w:val="258A3283"/>
    <w:rsid w:val="258E66DC"/>
    <w:rsid w:val="258F15BB"/>
    <w:rsid w:val="259231BD"/>
    <w:rsid w:val="25A77DD4"/>
    <w:rsid w:val="25BB6C64"/>
    <w:rsid w:val="25C87522"/>
    <w:rsid w:val="25C97301"/>
    <w:rsid w:val="25CD7961"/>
    <w:rsid w:val="25D64403"/>
    <w:rsid w:val="25F51596"/>
    <w:rsid w:val="25F67042"/>
    <w:rsid w:val="260A55DA"/>
    <w:rsid w:val="260B255C"/>
    <w:rsid w:val="26217848"/>
    <w:rsid w:val="262E20E8"/>
    <w:rsid w:val="262E34C1"/>
    <w:rsid w:val="2640682F"/>
    <w:rsid w:val="26510DB8"/>
    <w:rsid w:val="26531A21"/>
    <w:rsid w:val="265B051D"/>
    <w:rsid w:val="26626905"/>
    <w:rsid w:val="26667EB2"/>
    <w:rsid w:val="266B1FB8"/>
    <w:rsid w:val="267B7FD0"/>
    <w:rsid w:val="267E518B"/>
    <w:rsid w:val="26872779"/>
    <w:rsid w:val="269B3F13"/>
    <w:rsid w:val="26A4288C"/>
    <w:rsid w:val="26A968B5"/>
    <w:rsid w:val="26BA59F2"/>
    <w:rsid w:val="26C36DE5"/>
    <w:rsid w:val="26C9404D"/>
    <w:rsid w:val="26CB586A"/>
    <w:rsid w:val="26CD53A8"/>
    <w:rsid w:val="26D323BB"/>
    <w:rsid w:val="26D45590"/>
    <w:rsid w:val="26E33D81"/>
    <w:rsid w:val="26F40E3F"/>
    <w:rsid w:val="26F40EBD"/>
    <w:rsid w:val="26FA2DE3"/>
    <w:rsid w:val="270169BA"/>
    <w:rsid w:val="27125B0D"/>
    <w:rsid w:val="27222699"/>
    <w:rsid w:val="272A3F42"/>
    <w:rsid w:val="273216D6"/>
    <w:rsid w:val="273D1CBA"/>
    <w:rsid w:val="274A7B1A"/>
    <w:rsid w:val="275439E1"/>
    <w:rsid w:val="276320D7"/>
    <w:rsid w:val="276E3B98"/>
    <w:rsid w:val="277D17ED"/>
    <w:rsid w:val="278A6416"/>
    <w:rsid w:val="279408D2"/>
    <w:rsid w:val="279A2ED3"/>
    <w:rsid w:val="279A5E9D"/>
    <w:rsid w:val="27A55966"/>
    <w:rsid w:val="27B02558"/>
    <w:rsid w:val="27B03EC1"/>
    <w:rsid w:val="27B91021"/>
    <w:rsid w:val="27C06D17"/>
    <w:rsid w:val="27C66099"/>
    <w:rsid w:val="27FE4240"/>
    <w:rsid w:val="280008FF"/>
    <w:rsid w:val="28050D91"/>
    <w:rsid w:val="281035C6"/>
    <w:rsid w:val="28255041"/>
    <w:rsid w:val="283A1E3E"/>
    <w:rsid w:val="284543A1"/>
    <w:rsid w:val="28553E1D"/>
    <w:rsid w:val="28821314"/>
    <w:rsid w:val="28937E6D"/>
    <w:rsid w:val="28990664"/>
    <w:rsid w:val="28AD2029"/>
    <w:rsid w:val="28B220F4"/>
    <w:rsid w:val="28C075A4"/>
    <w:rsid w:val="28D139F1"/>
    <w:rsid w:val="28DA6C60"/>
    <w:rsid w:val="28DB0A30"/>
    <w:rsid w:val="28F33F0D"/>
    <w:rsid w:val="28F72DB8"/>
    <w:rsid w:val="28F95F71"/>
    <w:rsid w:val="28FE6A8A"/>
    <w:rsid w:val="29056FFF"/>
    <w:rsid w:val="290753B9"/>
    <w:rsid w:val="291712DF"/>
    <w:rsid w:val="29192BE8"/>
    <w:rsid w:val="291C432F"/>
    <w:rsid w:val="291D21EF"/>
    <w:rsid w:val="29264B1F"/>
    <w:rsid w:val="292A375F"/>
    <w:rsid w:val="29316984"/>
    <w:rsid w:val="293310A0"/>
    <w:rsid w:val="2938092A"/>
    <w:rsid w:val="293966D9"/>
    <w:rsid w:val="29425246"/>
    <w:rsid w:val="2946144E"/>
    <w:rsid w:val="294A5BC8"/>
    <w:rsid w:val="29504176"/>
    <w:rsid w:val="296865F6"/>
    <w:rsid w:val="296B20A7"/>
    <w:rsid w:val="297D1A8B"/>
    <w:rsid w:val="29981CF5"/>
    <w:rsid w:val="29A4634A"/>
    <w:rsid w:val="29A84DD1"/>
    <w:rsid w:val="29AA2390"/>
    <w:rsid w:val="29B85AFC"/>
    <w:rsid w:val="29BB74AF"/>
    <w:rsid w:val="29BC2AA4"/>
    <w:rsid w:val="29CD2270"/>
    <w:rsid w:val="29D22D87"/>
    <w:rsid w:val="29EB2636"/>
    <w:rsid w:val="29F26903"/>
    <w:rsid w:val="2A06427E"/>
    <w:rsid w:val="2A0F7591"/>
    <w:rsid w:val="2A222BC6"/>
    <w:rsid w:val="2A3B063B"/>
    <w:rsid w:val="2A49761F"/>
    <w:rsid w:val="2A4C74B8"/>
    <w:rsid w:val="2A500712"/>
    <w:rsid w:val="2A627A42"/>
    <w:rsid w:val="2A630308"/>
    <w:rsid w:val="2A676AD0"/>
    <w:rsid w:val="2A687AA6"/>
    <w:rsid w:val="2A6A2073"/>
    <w:rsid w:val="2A770CC7"/>
    <w:rsid w:val="2A7A022E"/>
    <w:rsid w:val="2A8A27A6"/>
    <w:rsid w:val="2A8B1FCC"/>
    <w:rsid w:val="2A9A66D4"/>
    <w:rsid w:val="2AAC36BD"/>
    <w:rsid w:val="2AB04937"/>
    <w:rsid w:val="2AC010F2"/>
    <w:rsid w:val="2ACF5AEC"/>
    <w:rsid w:val="2AD62AB0"/>
    <w:rsid w:val="2ADC1447"/>
    <w:rsid w:val="2ADE1583"/>
    <w:rsid w:val="2AE70523"/>
    <w:rsid w:val="2AF12CDF"/>
    <w:rsid w:val="2B03681F"/>
    <w:rsid w:val="2B0726A6"/>
    <w:rsid w:val="2B0C6B23"/>
    <w:rsid w:val="2B1D6F4B"/>
    <w:rsid w:val="2B2D1363"/>
    <w:rsid w:val="2B335E16"/>
    <w:rsid w:val="2B42025A"/>
    <w:rsid w:val="2B450516"/>
    <w:rsid w:val="2B4526E2"/>
    <w:rsid w:val="2B592A46"/>
    <w:rsid w:val="2B5B7165"/>
    <w:rsid w:val="2B611B55"/>
    <w:rsid w:val="2B686C09"/>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395B9E"/>
    <w:rsid w:val="2C416890"/>
    <w:rsid w:val="2C4725E8"/>
    <w:rsid w:val="2C4D767D"/>
    <w:rsid w:val="2C5514C6"/>
    <w:rsid w:val="2C5C2032"/>
    <w:rsid w:val="2C5F0C97"/>
    <w:rsid w:val="2C6017A5"/>
    <w:rsid w:val="2C72088D"/>
    <w:rsid w:val="2C7A3BB0"/>
    <w:rsid w:val="2C7D6665"/>
    <w:rsid w:val="2C7E3EED"/>
    <w:rsid w:val="2C865A05"/>
    <w:rsid w:val="2C8B0557"/>
    <w:rsid w:val="2C9A28D3"/>
    <w:rsid w:val="2CBC4209"/>
    <w:rsid w:val="2CC12D54"/>
    <w:rsid w:val="2CC9742A"/>
    <w:rsid w:val="2CDA4FDA"/>
    <w:rsid w:val="2CDC7091"/>
    <w:rsid w:val="2CE16D71"/>
    <w:rsid w:val="2CFD5C64"/>
    <w:rsid w:val="2D0128E8"/>
    <w:rsid w:val="2D0C5A2F"/>
    <w:rsid w:val="2D0E231B"/>
    <w:rsid w:val="2D1A1A6B"/>
    <w:rsid w:val="2D1A4915"/>
    <w:rsid w:val="2D306B85"/>
    <w:rsid w:val="2D400A9F"/>
    <w:rsid w:val="2D4B698A"/>
    <w:rsid w:val="2D540857"/>
    <w:rsid w:val="2D590555"/>
    <w:rsid w:val="2D61618B"/>
    <w:rsid w:val="2D7A06F1"/>
    <w:rsid w:val="2D8151A4"/>
    <w:rsid w:val="2DA02E9C"/>
    <w:rsid w:val="2DB40487"/>
    <w:rsid w:val="2DBF0C3E"/>
    <w:rsid w:val="2DBF1601"/>
    <w:rsid w:val="2DBF4C3A"/>
    <w:rsid w:val="2DC464AC"/>
    <w:rsid w:val="2DF04CFF"/>
    <w:rsid w:val="2DF6091F"/>
    <w:rsid w:val="2DF77C3F"/>
    <w:rsid w:val="2DFA6574"/>
    <w:rsid w:val="2DFB6F69"/>
    <w:rsid w:val="2E040A80"/>
    <w:rsid w:val="2E095C19"/>
    <w:rsid w:val="2E0F3A78"/>
    <w:rsid w:val="2E1530A6"/>
    <w:rsid w:val="2E160B5E"/>
    <w:rsid w:val="2E177098"/>
    <w:rsid w:val="2E190FE7"/>
    <w:rsid w:val="2E2630D7"/>
    <w:rsid w:val="2E2806DD"/>
    <w:rsid w:val="2E2A4425"/>
    <w:rsid w:val="2E3A3030"/>
    <w:rsid w:val="2E46069F"/>
    <w:rsid w:val="2E5608F9"/>
    <w:rsid w:val="2E6F4813"/>
    <w:rsid w:val="2E705752"/>
    <w:rsid w:val="2E7B65BB"/>
    <w:rsid w:val="2E833F54"/>
    <w:rsid w:val="2E855C37"/>
    <w:rsid w:val="2E8F09A4"/>
    <w:rsid w:val="2E993370"/>
    <w:rsid w:val="2EA26ABE"/>
    <w:rsid w:val="2EA74B75"/>
    <w:rsid w:val="2EB61295"/>
    <w:rsid w:val="2EBD0B0B"/>
    <w:rsid w:val="2EC414ED"/>
    <w:rsid w:val="2EE931AE"/>
    <w:rsid w:val="2EEA307E"/>
    <w:rsid w:val="2EEF6737"/>
    <w:rsid w:val="2EF53C20"/>
    <w:rsid w:val="2EFC5DDD"/>
    <w:rsid w:val="2F002CCF"/>
    <w:rsid w:val="2F0160A3"/>
    <w:rsid w:val="2F18561C"/>
    <w:rsid w:val="2F1A491A"/>
    <w:rsid w:val="2F2960CC"/>
    <w:rsid w:val="2F2F3D52"/>
    <w:rsid w:val="2F3B7B8B"/>
    <w:rsid w:val="2F44254B"/>
    <w:rsid w:val="2F4530B9"/>
    <w:rsid w:val="2F4754EE"/>
    <w:rsid w:val="2F4B7821"/>
    <w:rsid w:val="2F526911"/>
    <w:rsid w:val="2F712CF7"/>
    <w:rsid w:val="2F805714"/>
    <w:rsid w:val="2F8E5F5C"/>
    <w:rsid w:val="2FA21231"/>
    <w:rsid w:val="2FAD4759"/>
    <w:rsid w:val="2FAD5866"/>
    <w:rsid w:val="2FAD6544"/>
    <w:rsid w:val="2FAF4740"/>
    <w:rsid w:val="2FCA0967"/>
    <w:rsid w:val="2FDB17E1"/>
    <w:rsid w:val="2FE20568"/>
    <w:rsid w:val="2FE37171"/>
    <w:rsid w:val="2FF117AD"/>
    <w:rsid w:val="2FF95633"/>
    <w:rsid w:val="30010F70"/>
    <w:rsid w:val="300F7F13"/>
    <w:rsid w:val="301E3C00"/>
    <w:rsid w:val="302757BF"/>
    <w:rsid w:val="302E1CAD"/>
    <w:rsid w:val="3045713F"/>
    <w:rsid w:val="30500A5C"/>
    <w:rsid w:val="30565836"/>
    <w:rsid w:val="30752E77"/>
    <w:rsid w:val="308018A6"/>
    <w:rsid w:val="30804E19"/>
    <w:rsid w:val="30841009"/>
    <w:rsid w:val="3090288F"/>
    <w:rsid w:val="309B0CFB"/>
    <w:rsid w:val="309B2EEC"/>
    <w:rsid w:val="309E4272"/>
    <w:rsid w:val="30B7307E"/>
    <w:rsid w:val="30DC45E8"/>
    <w:rsid w:val="30DD6027"/>
    <w:rsid w:val="30DE16AB"/>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65E5D"/>
    <w:rsid w:val="316B0F75"/>
    <w:rsid w:val="316D6950"/>
    <w:rsid w:val="3171328C"/>
    <w:rsid w:val="31822EAF"/>
    <w:rsid w:val="31840D12"/>
    <w:rsid w:val="31846FF6"/>
    <w:rsid w:val="319268E9"/>
    <w:rsid w:val="319C422D"/>
    <w:rsid w:val="319D6381"/>
    <w:rsid w:val="31A53A0B"/>
    <w:rsid w:val="31A7307B"/>
    <w:rsid w:val="31A94576"/>
    <w:rsid w:val="31B23BA8"/>
    <w:rsid w:val="31C363A1"/>
    <w:rsid w:val="31CA5CF8"/>
    <w:rsid w:val="31CB26CD"/>
    <w:rsid w:val="31D06A52"/>
    <w:rsid w:val="31F20023"/>
    <w:rsid w:val="31FA7AEE"/>
    <w:rsid w:val="31FB60C5"/>
    <w:rsid w:val="3209100C"/>
    <w:rsid w:val="32226597"/>
    <w:rsid w:val="32330B50"/>
    <w:rsid w:val="3238698E"/>
    <w:rsid w:val="324968A9"/>
    <w:rsid w:val="324F1DD8"/>
    <w:rsid w:val="3259293C"/>
    <w:rsid w:val="32666821"/>
    <w:rsid w:val="32675D0B"/>
    <w:rsid w:val="326B7BBB"/>
    <w:rsid w:val="326E0853"/>
    <w:rsid w:val="327A3DD6"/>
    <w:rsid w:val="327E6AD8"/>
    <w:rsid w:val="32946A84"/>
    <w:rsid w:val="32BC6631"/>
    <w:rsid w:val="32C05B65"/>
    <w:rsid w:val="32C6418D"/>
    <w:rsid w:val="32C67D89"/>
    <w:rsid w:val="32D14A7F"/>
    <w:rsid w:val="32D26AE6"/>
    <w:rsid w:val="32D62FC4"/>
    <w:rsid w:val="32DE353D"/>
    <w:rsid w:val="32E343F6"/>
    <w:rsid w:val="32E70B2C"/>
    <w:rsid w:val="32E921F0"/>
    <w:rsid w:val="32F121C0"/>
    <w:rsid w:val="32F76D5D"/>
    <w:rsid w:val="32F86450"/>
    <w:rsid w:val="330244A4"/>
    <w:rsid w:val="331B37C6"/>
    <w:rsid w:val="331C390F"/>
    <w:rsid w:val="33353688"/>
    <w:rsid w:val="3351613E"/>
    <w:rsid w:val="33610DDA"/>
    <w:rsid w:val="33767D1F"/>
    <w:rsid w:val="337F446B"/>
    <w:rsid w:val="339902E6"/>
    <w:rsid w:val="33A156DE"/>
    <w:rsid w:val="33B70359"/>
    <w:rsid w:val="33B77FF2"/>
    <w:rsid w:val="33BA1B32"/>
    <w:rsid w:val="33CB205A"/>
    <w:rsid w:val="33E20DF0"/>
    <w:rsid w:val="33E570DD"/>
    <w:rsid w:val="33EE5E44"/>
    <w:rsid w:val="33FE4E44"/>
    <w:rsid w:val="34087429"/>
    <w:rsid w:val="340B5F03"/>
    <w:rsid w:val="341315B5"/>
    <w:rsid w:val="34147AA7"/>
    <w:rsid w:val="34182B66"/>
    <w:rsid w:val="34260D3D"/>
    <w:rsid w:val="342D3CE2"/>
    <w:rsid w:val="34343D6C"/>
    <w:rsid w:val="34347DC5"/>
    <w:rsid w:val="34380493"/>
    <w:rsid w:val="344404B3"/>
    <w:rsid w:val="34463967"/>
    <w:rsid w:val="344C08D2"/>
    <w:rsid w:val="345543D1"/>
    <w:rsid w:val="345A7367"/>
    <w:rsid w:val="345D2CD0"/>
    <w:rsid w:val="346C0AEA"/>
    <w:rsid w:val="347F540F"/>
    <w:rsid w:val="34863322"/>
    <w:rsid w:val="348F7A0E"/>
    <w:rsid w:val="349A0B7D"/>
    <w:rsid w:val="34A851E8"/>
    <w:rsid w:val="34B51A96"/>
    <w:rsid w:val="34C800BD"/>
    <w:rsid w:val="34D47C8A"/>
    <w:rsid w:val="34DB0CAC"/>
    <w:rsid w:val="34E972FC"/>
    <w:rsid w:val="34F83EF3"/>
    <w:rsid w:val="34FF2166"/>
    <w:rsid w:val="351C075B"/>
    <w:rsid w:val="35233F18"/>
    <w:rsid w:val="3524348B"/>
    <w:rsid w:val="35333FF2"/>
    <w:rsid w:val="353C75ED"/>
    <w:rsid w:val="353E791E"/>
    <w:rsid w:val="354008AB"/>
    <w:rsid w:val="354966A2"/>
    <w:rsid w:val="354C7B38"/>
    <w:rsid w:val="354F28B8"/>
    <w:rsid w:val="35562F9E"/>
    <w:rsid w:val="355B280E"/>
    <w:rsid w:val="355B3BD4"/>
    <w:rsid w:val="355D687A"/>
    <w:rsid w:val="35691707"/>
    <w:rsid w:val="35744059"/>
    <w:rsid w:val="35771AC2"/>
    <w:rsid w:val="357960B4"/>
    <w:rsid w:val="35890592"/>
    <w:rsid w:val="359C1F6C"/>
    <w:rsid w:val="35A0338E"/>
    <w:rsid w:val="35A16611"/>
    <w:rsid w:val="35A31A0A"/>
    <w:rsid w:val="35AB5D7D"/>
    <w:rsid w:val="35B31B82"/>
    <w:rsid w:val="35C154C0"/>
    <w:rsid w:val="35C7584B"/>
    <w:rsid w:val="35D31DE1"/>
    <w:rsid w:val="35DD2AEE"/>
    <w:rsid w:val="35EA6509"/>
    <w:rsid w:val="35ED04DC"/>
    <w:rsid w:val="35ED2EEA"/>
    <w:rsid w:val="35F44E5C"/>
    <w:rsid w:val="35F45994"/>
    <w:rsid w:val="35F907BD"/>
    <w:rsid w:val="3602050E"/>
    <w:rsid w:val="36101A49"/>
    <w:rsid w:val="361A2F27"/>
    <w:rsid w:val="36265F04"/>
    <w:rsid w:val="36297754"/>
    <w:rsid w:val="363F4D43"/>
    <w:rsid w:val="36486576"/>
    <w:rsid w:val="365255CC"/>
    <w:rsid w:val="365955CF"/>
    <w:rsid w:val="365F765A"/>
    <w:rsid w:val="36627C0A"/>
    <w:rsid w:val="36693B36"/>
    <w:rsid w:val="366B0AAA"/>
    <w:rsid w:val="366D49A8"/>
    <w:rsid w:val="36752210"/>
    <w:rsid w:val="36855CAE"/>
    <w:rsid w:val="36884498"/>
    <w:rsid w:val="36922B55"/>
    <w:rsid w:val="36991125"/>
    <w:rsid w:val="369E370A"/>
    <w:rsid w:val="36A312B2"/>
    <w:rsid w:val="36A9265A"/>
    <w:rsid w:val="36B121C7"/>
    <w:rsid w:val="36B2486C"/>
    <w:rsid w:val="36D009E5"/>
    <w:rsid w:val="36D27C18"/>
    <w:rsid w:val="36D512A9"/>
    <w:rsid w:val="36F414F3"/>
    <w:rsid w:val="37002C93"/>
    <w:rsid w:val="370923F6"/>
    <w:rsid w:val="370974B4"/>
    <w:rsid w:val="371A5A8E"/>
    <w:rsid w:val="371E58EB"/>
    <w:rsid w:val="371E6151"/>
    <w:rsid w:val="37277663"/>
    <w:rsid w:val="372A07F2"/>
    <w:rsid w:val="37357964"/>
    <w:rsid w:val="37446333"/>
    <w:rsid w:val="37446A77"/>
    <w:rsid w:val="374D0B20"/>
    <w:rsid w:val="37557969"/>
    <w:rsid w:val="378A731A"/>
    <w:rsid w:val="378E3617"/>
    <w:rsid w:val="37931A90"/>
    <w:rsid w:val="37A4082B"/>
    <w:rsid w:val="37A4627C"/>
    <w:rsid w:val="37A530D5"/>
    <w:rsid w:val="37B1214B"/>
    <w:rsid w:val="37B5292C"/>
    <w:rsid w:val="37BA5A92"/>
    <w:rsid w:val="37BA6351"/>
    <w:rsid w:val="37C93B72"/>
    <w:rsid w:val="37F311D3"/>
    <w:rsid w:val="37F7242F"/>
    <w:rsid w:val="380579FE"/>
    <w:rsid w:val="380A2EB4"/>
    <w:rsid w:val="38157509"/>
    <w:rsid w:val="381C1241"/>
    <w:rsid w:val="381D5340"/>
    <w:rsid w:val="382150C9"/>
    <w:rsid w:val="38225BE5"/>
    <w:rsid w:val="382372FE"/>
    <w:rsid w:val="38284CDE"/>
    <w:rsid w:val="382F19E6"/>
    <w:rsid w:val="383B2EED"/>
    <w:rsid w:val="384C2D57"/>
    <w:rsid w:val="384F2AC5"/>
    <w:rsid w:val="3856501D"/>
    <w:rsid w:val="38590DD6"/>
    <w:rsid w:val="385F47DB"/>
    <w:rsid w:val="386A1921"/>
    <w:rsid w:val="38775820"/>
    <w:rsid w:val="387F0A30"/>
    <w:rsid w:val="38876F05"/>
    <w:rsid w:val="38894DA5"/>
    <w:rsid w:val="38913DAB"/>
    <w:rsid w:val="38981AB5"/>
    <w:rsid w:val="38A40C18"/>
    <w:rsid w:val="38AA0185"/>
    <w:rsid w:val="38AB306B"/>
    <w:rsid w:val="38B031D5"/>
    <w:rsid w:val="38B9506E"/>
    <w:rsid w:val="38BF2270"/>
    <w:rsid w:val="38C0788B"/>
    <w:rsid w:val="38C33701"/>
    <w:rsid w:val="38C43916"/>
    <w:rsid w:val="38D05F26"/>
    <w:rsid w:val="38D124F5"/>
    <w:rsid w:val="38D504F4"/>
    <w:rsid w:val="38D95A84"/>
    <w:rsid w:val="38E11AA1"/>
    <w:rsid w:val="38E46191"/>
    <w:rsid w:val="38F50C85"/>
    <w:rsid w:val="39065A02"/>
    <w:rsid w:val="392B6A4C"/>
    <w:rsid w:val="393544DD"/>
    <w:rsid w:val="393962EC"/>
    <w:rsid w:val="39457868"/>
    <w:rsid w:val="394935B8"/>
    <w:rsid w:val="394C557A"/>
    <w:rsid w:val="3952190F"/>
    <w:rsid w:val="395753F2"/>
    <w:rsid w:val="39695DEF"/>
    <w:rsid w:val="39791B5E"/>
    <w:rsid w:val="397E700C"/>
    <w:rsid w:val="39834074"/>
    <w:rsid w:val="39885108"/>
    <w:rsid w:val="39907940"/>
    <w:rsid w:val="399602F5"/>
    <w:rsid w:val="399B5B0D"/>
    <w:rsid w:val="39A05979"/>
    <w:rsid w:val="39A504AB"/>
    <w:rsid w:val="39B55D14"/>
    <w:rsid w:val="39BB78F7"/>
    <w:rsid w:val="39BC428E"/>
    <w:rsid w:val="39C46549"/>
    <w:rsid w:val="39CA1A60"/>
    <w:rsid w:val="39D3749A"/>
    <w:rsid w:val="39D5434E"/>
    <w:rsid w:val="39DA738E"/>
    <w:rsid w:val="39DD49C2"/>
    <w:rsid w:val="39DD4ACE"/>
    <w:rsid w:val="39E70CEA"/>
    <w:rsid w:val="39E9070B"/>
    <w:rsid w:val="39EC7454"/>
    <w:rsid w:val="39FD2FB3"/>
    <w:rsid w:val="3A181AC2"/>
    <w:rsid w:val="3A1A155D"/>
    <w:rsid w:val="3A237175"/>
    <w:rsid w:val="3A4D3A01"/>
    <w:rsid w:val="3A616CAD"/>
    <w:rsid w:val="3A711C68"/>
    <w:rsid w:val="3A753F65"/>
    <w:rsid w:val="3A7927E8"/>
    <w:rsid w:val="3A796E46"/>
    <w:rsid w:val="3A8B3C77"/>
    <w:rsid w:val="3A971F5B"/>
    <w:rsid w:val="3A9A224E"/>
    <w:rsid w:val="3A9C1F8C"/>
    <w:rsid w:val="3A9D2551"/>
    <w:rsid w:val="3AA15A8E"/>
    <w:rsid w:val="3AA97F70"/>
    <w:rsid w:val="3AB26A14"/>
    <w:rsid w:val="3ABF42F5"/>
    <w:rsid w:val="3ACA5822"/>
    <w:rsid w:val="3AFD37D0"/>
    <w:rsid w:val="3B016EE9"/>
    <w:rsid w:val="3B075C4E"/>
    <w:rsid w:val="3B0D67FF"/>
    <w:rsid w:val="3B0E6B93"/>
    <w:rsid w:val="3B130528"/>
    <w:rsid w:val="3B2356A8"/>
    <w:rsid w:val="3B3A132E"/>
    <w:rsid w:val="3B456D7F"/>
    <w:rsid w:val="3B4E3028"/>
    <w:rsid w:val="3B5E261D"/>
    <w:rsid w:val="3B5F14B4"/>
    <w:rsid w:val="3B616FBE"/>
    <w:rsid w:val="3B683A4D"/>
    <w:rsid w:val="3B6F5B73"/>
    <w:rsid w:val="3B70725E"/>
    <w:rsid w:val="3B7B1D0B"/>
    <w:rsid w:val="3B873119"/>
    <w:rsid w:val="3BA17E84"/>
    <w:rsid w:val="3BA35FC1"/>
    <w:rsid w:val="3BA566FD"/>
    <w:rsid w:val="3BA7008A"/>
    <w:rsid w:val="3BB47D9F"/>
    <w:rsid w:val="3BC314DF"/>
    <w:rsid w:val="3BDE5F43"/>
    <w:rsid w:val="3BE745F7"/>
    <w:rsid w:val="3BF10AAD"/>
    <w:rsid w:val="3BFA10FC"/>
    <w:rsid w:val="3C042946"/>
    <w:rsid w:val="3C070D59"/>
    <w:rsid w:val="3C074961"/>
    <w:rsid w:val="3C0E09BE"/>
    <w:rsid w:val="3C0F1954"/>
    <w:rsid w:val="3C1071B6"/>
    <w:rsid w:val="3C1E391D"/>
    <w:rsid w:val="3C28160B"/>
    <w:rsid w:val="3C294498"/>
    <w:rsid w:val="3C2D5003"/>
    <w:rsid w:val="3C333216"/>
    <w:rsid w:val="3C36018F"/>
    <w:rsid w:val="3C3D016E"/>
    <w:rsid w:val="3C4864AA"/>
    <w:rsid w:val="3C4F7D80"/>
    <w:rsid w:val="3C64689F"/>
    <w:rsid w:val="3C740DAA"/>
    <w:rsid w:val="3C750E34"/>
    <w:rsid w:val="3C7E65EC"/>
    <w:rsid w:val="3C812838"/>
    <w:rsid w:val="3C8555A2"/>
    <w:rsid w:val="3C9A38A2"/>
    <w:rsid w:val="3C9E64A0"/>
    <w:rsid w:val="3CA41337"/>
    <w:rsid w:val="3CA95FB0"/>
    <w:rsid w:val="3CAA38C3"/>
    <w:rsid w:val="3CAC1109"/>
    <w:rsid w:val="3CB04C00"/>
    <w:rsid w:val="3CB36CF4"/>
    <w:rsid w:val="3CBA78F5"/>
    <w:rsid w:val="3CBF7818"/>
    <w:rsid w:val="3CC26B63"/>
    <w:rsid w:val="3CCC4D4D"/>
    <w:rsid w:val="3CD0193D"/>
    <w:rsid w:val="3CD71E34"/>
    <w:rsid w:val="3CD93A3D"/>
    <w:rsid w:val="3CDE394C"/>
    <w:rsid w:val="3CE54B9F"/>
    <w:rsid w:val="3CE86761"/>
    <w:rsid w:val="3CF619DB"/>
    <w:rsid w:val="3CF86E9C"/>
    <w:rsid w:val="3CFD37E7"/>
    <w:rsid w:val="3CFE44BF"/>
    <w:rsid w:val="3D035272"/>
    <w:rsid w:val="3D1428D8"/>
    <w:rsid w:val="3D184661"/>
    <w:rsid w:val="3D200D7C"/>
    <w:rsid w:val="3D272F24"/>
    <w:rsid w:val="3D47670E"/>
    <w:rsid w:val="3D4D7CF8"/>
    <w:rsid w:val="3D58163A"/>
    <w:rsid w:val="3D5A05E2"/>
    <w:rsid w:val="3D5C63D4"/>
    <w:rsid w:val="3D5E50E6"/>
    <w:rsid w:val="3D5F6029"/>
    <w:rsid w:val="3D7618FA"/>
    <w:rsid w:val="3D766E42"/>
    <w:rsid w:val="3D791797"/>
    <w:rsid w:val="3D832B00"/>
    <w:rsid w:val="3D8522AA"/>
    <w:rsid w:val="3D8A0C19"/>
    <w:rsid w:val="3D990197"/>
    <w:rsid w:val="3D9A0655"/>
    <w:rsid w:val="3DB17297"/>
    <w:rsid w:val="3DCD6921"/>
    <w:rsid w:val="3DD67156"/>
    <w:rsid w:val="3DD745F2"/>
    <w:rsid w:val="3DE37514"/>
    <w:rsid w:val="3DE548AC"/>
    <w:rsid w:val="3DE653F8"/>
    <w:rsid w:val="3DE72673"/>
    <w:rsid w:val="3DEB1255"/>
    <w:rsid w:val="3DEB7A63"/>
    <w:rsid w:val="3DEE1FBE"/>
    <w:rsid w:val="3E0448CB"/>
    <w:rsid w:val="3E073B6A"/>
    <w:rsid w:val="3E0F25EA"/>
    <w:rsid w:val="3E146F59"/>
    <w:rsid w:val="3E237BCC"/>
    <w:rsid w:val="3E255AC9"/>
    <w:rsid w:val="3E3419DC"/>
    <w:rsid w:val="3E4B2DC3"/>
    <w:rsid w:val="3E623E46"/>
    <w:rsid w:val="3E7A1C88"/>
    <w:rsid w:val="3E8B095A"/>
    <w:rsid w:val="3E8D66A1"/>
    <w:rsid w:val="3E8E6C82"/>
    <w:rsid w:val="3E943FDD"/>
    <w:rsid w:val="3E9A19C5"/>
    <w:rsid w:val="3E9E3078"/>
    <w:rsid w:val="3EAC3BDD"/>
    <w:rsid w:val="3EB767A1"/>
    <w:rsid w:val="3EC31440"/>
    <w:rsid w:val="3EC51CAD"/>
    <w:rsid w:val="3EC80A9D"/>
    <w:rsid w:val="3ECF0F50"/>
    <w:rsid w:val="3ECF234A"/>
    <w:rsid w:val="3ED671CD"/>
    <w:rsid w:val="3EE14A57"/>
    <w:rsid w:val="3EE21263"/>
    <w:rsid w:val="3EF36AD8"/>
    <w:rsid w:val="3EF62480"/>
    <w:rsid w:val="3F0572F1"/>
    <w:rsid w:val="3F144192"/>
    <w:rsid w:val="3F217DDA"/>
    <w:rsid w:val="3F2B184D"/>
    <w:rsid w:val="3F441B08"/>
    <w:rsid w:val="3F473E75"/>
    <w:rsid w:val="3F4A4087"/>
    <w:rsid w:val="3F4D4319"/>
    <w:rsid w:val="3F5361F5"/>
    <w:rsid w:val="3F952814"/>
    <w:rsid w:val="3F9C0821"/>
    <w:rsid w:val="3FA41C63"/>
    <w:rsid w:val="3FAB3D87"/>
    <w:rsid w:val="3FAB41A2"/>
    <w:rsid w:val="3FAE47F6"/>
    <w:rsid w:val="3FB03D8B"/>
    <w:rsid w:val="3FB77F5A"/>
    <w:rsid w:val="3FB8207E"/>
    <w:rsid w:val="3FCC7DC4"/>
    <w:rsid w:val="3FD53CFE"/>
    <w:rsid w:val="3FE210C1"/>
    <w:rsid w:val="3FEB1C22"/>
    <w:rsid w:val="3FF448C4"/>
    <w:rsid w:val="40073561"/>
    <w:rsid w:val="400A1CFC"/>
    <w:rsid w:val="401D6DEE"/>
    <w:rsid w:val="403D7C5C"/>
    <w:rsid w:val="40400533"/>
    <w:rsid w:val="4049754C"/>
    <w:rsid w:val="404B2521"/>
    <w:rsid w:val="405008F9"/>
    <w:rsid w:val="405A424E"/>
    <w:rsid w:val="406D461C"/>
    <w:rsid w:val="406F7D87"/>
    <w:rsid w:val="40825FDB"/>
    <w:rsid w:val="40907287"/>
    <w:rsid w:val="409238F2"/>
    <w:rsid w:val="40AB3054"/>
    <w:rsid w:val="40B27D85"/>
    <w:rsid w:val="40BD153A"/>
    <w:rsid w:val="40C3250A"/>
    <w:rsid w:val="40CD7BD8"/>
    <w:rsid w:val="40CE24AF"/>
    <w:rsid w:val="40D07371"/>
    <w:rsid w:val="40D72999"/>
    <w:rsid w:val="40DF3ABC"/>
    <w:rsid w:val="40E87142"/>
    <w:rsid w:val="40F00A85"/>
    <w:rsid w:val="40F1013C"/>
    <w:rsid w:val="41053DED"/>
    <w:rsid w:val="412506DF"/>
    <w:rsid w:val="41311EFB"/>
    <w:rsid w:val="413B1BAB"/>
    <w:rsid w:val="414F41D7"/>
    <w:rsid w:val="414F7876"/>
    <w:rsid w:val="41515CEC"/>
    <w:rsid w:val="415A0FEF"/>
    <w:rsid w:val="41653B51"/>
    <w:rsid w:val="416C15E7"/>
    <w:rsid w:val="416E039C"/>
    <w:rsid w:val="41800377"/>
    <w:rsid w:val="41804025"/>
    <w:rsid w:val="418B26ED"/>
    <w:rsid w:val="41986119"/>
    <w:rsid w:val="41A63744"/>
    <w:rsid w:val="41AC6BA3"/>
    <w:rsid w:val="41AD5F07"/>
    <w:rsid w:val="41B730A3"/>
    <w:rsid w:val="41B737E0"/>
    <w:rsid w:val="41B77B6D"/>
    <w:rsid w:val="41D1580B"/>
    <w:rsid w:val="41D57639"/>
    <w:rsid w:val="41DC5EDF"/>
    <w:rsid w:val="41DD05DE"/>
    <w:rsid w:val="41E4117E"/>
    <w:rsid w:val="41E524BB"/>
    <w:rsid w:val="41F04C42"/>
    <w:rsid w:val="41F07014"/>
    <w:rsid w:val="41F24303"/>
    <w:rsid w:val="41F52080"/>
    <w:rsid w:val="41F94D40"/>
    <w:rsid w:val="42075983"/>
    <w:rsid w:val="420850A2"/>
    <w:rsid w:val="4215138A"/>
    <w:rsid w:val="421B1059"/>
    <w:rsid w:val="42294221"/>
    <w:rsid w:val="422E207E"/>
    <w:rsid w:val="423038F8"/>
    <w:rsid w:val="424255E1"/>
    <w:rsid w:val="424A277B"/>
    <w:rsid w:val="42571AE1"/>
    <w:rsid w:val="42697E79"/>
    <w:rsid w:val="42730E0D"/>
    <w:rsid w:val="427409B9"/>
    <w:rsid w:val="4280379E"/>
    <w:rsid w:val="42831021"/>
    <w:rsid w:val="42873CB7"/>
    <w:rsid w:val="429110B8"/>
    <w:rsid w:val="4295760D"/>
    <w:rsid w:val="42A87389"/>
    <w:rsid w:val="42B63D6B"/>
    <w:rsid w:val="42BB39D6"/>
    <w:rsid w:val="42D67001"/>
    <w:rsid w:val="42E06A10"/>
    <w:rsid w:val="42F875D5"/>
    <w:rsid w:val="430A5FFD"/>
    <w:rsid w:val="43112BE5"/>
    <w:rsid w:val="431A5EA9"/>
    <w:rsid w:val="431B56C6"/>
    <w:rsid w:val="431C7B04"/>
    <w:rsid w:val="43200C7A"/>
    <w:rsid w:val="432E5E21"/>
    <w:rsid w:val="432E7463"/>
    <w:rsid w:val="433C41B8"/>
    <w:rsid w:val="433D2335"/>
    <w:rsid w:val="434660C5"/>
    <w:rsid w:val="43621947"/>
    <w:rsid w:val="4363090C"/>
    <w:rsid w:val="436A2192"/>
    <w:rsid w:val="438B6310"/>
    <w:rsid w:val="4397231A"/>
    <w:rsid w:val="439C3431"/>
    <w:rsid w:val="439D0E7C"/>
    <w:rsid w:val="43A26A83"/>
    <w:rsid w:val="43BD08FA"/>
    <w:rsid w:val="43D67A91"/>
    <w:rsid w:val="43E21F58"/>
    <w:rsid w:val="43E35EF0"/>
    <w:rsid w:val="43F76F69"/>
    <w:rsid w:val="43FC0DB2"/>
    <w:rsid w:val="440C5D56"/>
    <w:rsid w:val="44174583"/>
    <w:rsid w:val="441A5200"/>
    <w:rsid w:val="4425456D"/>
    <w:rsid w:val="44393BD3"/>
    <w:rsid w:val="444109FB"/>
    <w:rsid w:val="444E22EA"/>
    <w:rsid w:val="444F580C"/>
    <w:rsid w:val="44584267"/>
    <w:rsid w:val="44705173"/>
    <w:rsid w:val="44740841"/>
    <w:rsid w:val="4476407C"/>
    <w:rsid w:val="447B4A66"/>
    <w:rsid w:val="447D4136"/>
    <w:rsid w:val="448B5845"/>
    <w:rsid w:val="448C73DD"/>
    <w:rsid w:val="44907237"/>
    <w:rsid w:val="449D7968"/>
    <w:rsid w:val="44B4690B"/>
    <w:rsid w:val="44B53006"/>
    <w:rsid w:val="44BA1648"/>
    <w:rsid w:val="44BB150F"/>
    <w:rsid w:val="44BE4FA9"/>
    <w:rsid w:val="44C87C0F"/>
    <w:rsid w:val="44DF6F1B"/>
    <w:rsid w:val="44E92DF3"/>
    <w:rsid w:val="44F82D0E"/>
    <w:rsid w:val="45385EDA"/>
    <w:rsid w:val="454036A6"/>
    <w:rsid w:val="45446179"/>
    <w:rsid w:val="454E4F75"/>
    <w:rsid w:val="454E6B7A"/>
    <w:rsid w:val="4551463D"/>
    <w:rsid w:val="45554B88"/>
    <w:rsid w:val="456C4CA4"/>
    <w:rsid w:val="457736FF"/>
    <w:rsid w:val="45790DCE"/>
    <w:rsid w:val="457E31A2"/>
    <w:rsid w:val="458B757C"/>
    <w:rsid w:val="45917B8A"/>
    <w:rsid w:val="459B634C"/>
    <w:rsid w:val="459F2381"/>
    <w:rsid w:val="45B64B84"/>
    <w:rsid w:val="45DD64C1"/>
    <w:rsid w:val="45E133F9"/>
    <w:rsid w:val="45E37678"/>
    <w:rsid w:val="45E526A6"/>
    <w:rsid w:val="45E66893"/>
    <w:rsid w:val="45E826B2"/>
    <w:rsid w:val="45ED6F0C"/>
    <w:rsid w:val="45EF2FA4"/>
    <w:rsid w:val="45F4334C"/>
    <w:rsid w:val="460D3781"/>
    <w:rsid w:val="46466453"/>
    <w:rsid w:val="465110C6"/>
    <w:rsid w:val="465918B0"/>
    <w:rsid w:val="4662020E"/>
    <w:rsid w:val="4671651F"/>
    <w:rsid w:val="46787358"/>
    <w:rsid w:val="4679494F"/>
    <w:rsid w:val="467A6815"/>
    <w:rsid w:val="468A27AC"/>
    <w:rsid w:val="468E6888"/>
    <w:rsid w:val="46914620"/>
    <w:rsid w:val="46981A1E"/>
    <w:rsid w:val="46987D2F"/>
    <w:rsid w:val="46995896"/>
    <w:rsid w:val="469D5DE8"/>
    <w:rsid w:val="46A35C12"/>
    <w:rsid w:val="46A55B0E"/>
    <w:rsid w:val="46A82992"/>
    <w:rsid w:val="46AD7A54"/>
    <w:rsid w:val="46B419BE"/>
    <w:rsid w:val="46B640D3"/>
    <w:rsid w:val="46BC701A"/>
    <w:rsid w:val="46CD1F17"/>
    <w:rsid w:val="46D67289"/>
    <w:rsid w:val="46DD1D17"/>
    <w:rsid w:val="46E1018C"/>
    <w:rsid w:val="46E53AB0"/>
    <w:rsid w:val="46F37479"/>
    <w:rsid w:val="46FC2FE8"/>
    <w:rsid w:val="47033281"/>
    <w:rsid w:val="47065799"/>
    <w:rsid w:val="47073BE8"/>
    <w:rsid w:val="470872CF"/>
    <w:rsid w:val="471563E1"/>
    <w:rsid w:val="471C12F1"/>
    <w:rsid w:val="47333B1B"/>
    <w:rsid w:val="47351654"/>
    <w:rsid w:val="473D0BD8"/>
    <w:rsid w:val="47457188"/>
    <w:rsid w:val="475E6B54"/>
    <w:rsid w:val="47644CFB"/>
    <w:rsid w:val="47666951"/>
    <w:rsid w:val="47683159"/>
    <w:rsid w:val="47696F4E"/>
    <w:rsid w:val="476A7D07"/>
    <w:rsid w:val="479766B4"/>
    <w:rsid w:val="479D7800"/>
    <w:rsid w:val="47B44BED"/>
    <w:rsid w:val="47BC3466"/>
    <w:rsid w:val="47DD6A91"/>
    <w:rsid w:val="47EB0853"/>
    <w:rsid w:val="47EB5BFA"/>
    <w:rsid w:val="47FA20F9"/>
    <w:rsid w:val="47FF3A74"/>
    <w:rsid w:val="480B7A59"/>
    <w:rsid w:val="48111DC2"/>
    <w:rsid w:val="48156BFB"/>
    <w:rsid w:val="482B39B5"/>
    <w:rsid w:val="482D350F"/>
    <w:rsid w:val="483C2A8C"/>
    <w:rsid w:val="48424FA1"/>
    <w:rsid w:val="484647AE"/>
    <w:rsid w:val="484875C5"/>
    <w:rsid w:val="484F1901"/>
    <w:rsid w:val="48594C05"/>
    <w:rsid w:val="485D5413"/>
    <w:rsid w:val="48740F16"/>
    <w:rsid w:val="48747A97"/>
    <w:rsid w:val="48850976"/>
    <w:rsid w:val="488E25F1"/>
    <w:rsid w:val="48942964"/>
    <w:rsid w:val="489B4431"/>
    <w:rsid w:val="489F0E5C"/>
    <w:rsid w:val="48A36B1C"/>
    <w:rsid w:val="48A76BEF"/>
    <w:rsid w:val="48AF255D"/>
    <w:rsid w:val="48B16C29"/>
    <w:rsid w:val="48B305F1"/>
    <w:rsid w:val="48B44D6B"/>
    <w:rsid w:val="48B470F8"/>
    <w:rsid w:val="48C43EFA"/>
    <w:rsid w:val="48C72E35"/>
    <w:rsid w:val="48C82BD7"/>
    <w:rsid w:val="48CB0DA2"/>
    <w:rsid w:val="48DC218B"/>
    <w:rsid w:val="48F447F8"/>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707759"/>
    <w:rsid w:val="49715E0F"/>
    <w:rsid w:val="49927DFC"/>
    <w:rsid w:val="4995554E"/>
    <w:rsid w:val="499B3646"/>
    <w:rsid w:val="499C3504"/>
    <w:rsid w:val="49A234F6"/>
    <w:rsid w:val="49A43EE6"/>
    <w:rsid w:val="49AB3DB8"/>
    <w:rsid w:val="49B4201A"/>
    <w:rsid w:val="49BB7967"/>
    <w:rsid w:val="49C20C6C"/>
    <w:rsid w:val="49CE0C89"/>
    <w:rsid w:val="49D93C20"/>
    <w:rsid w:val="49DA3FD3"/>
    <w:rsid w:val="49F9265C"/>
    <w:rsid w:val="4A0573EC"/>
    <w:rsid w:val="4A06116C"/>
    <w:rsid w:val="4A070E8E"/>
    <w:rsid w:val="4A09499E"/>
    <w:rsid w:val="4A26579A"/>
    <w:rsid w:val="4A321220"/>
    <w:rsid w:val="4A381BA6"/>
    <w:rsid w:val="4A3926E2"/>
    <w:rsid w:val="4A4172CE"/>
    <w:rsid w:val="4A43236C"/>
    <w:rsid w:val="4A4A176A"/>
    <w:rsid w:val="4A5C4447"/>
    <w:rsid w:val="4A6C0FC7"/>
    <w:rsid w:val="4A6D7FF3"/>
    <w:rsid w:val="4A732739"/>
    <w:rsid w:val="4A7413BF"/>
    <w:rsid w:val="4A7D09F3"/>
    <w:rsid w:val="4A802C17"/>
    <w:rsid w:val="4A825AD9"/>
    <w:rsid w:val="4A840EFE"/>
    <w:rsid w:val="4A95521B"/>
    <w:rsid w:val="4AA456B8"/>
    <w:rsid w:val="4AA75186"/>
    <w:rsid w:val="4AB113DF"/>
    <w:rsid w:val="4AB3434B"/>
    <w:rsid w:val="4AC4256B"/>
    <w:rsid w:val="4AC860DD"/>
    <w:rsid w:val="4AD162A8"/>
    <w:rsid w:val="4AD25C89"/>
    <w:rsid w:val="4AD768C6"/>
    <w:rsid w:val="4AF902F5"/>
    <w:rsid w:val="4AF94D42"/>
    <w:rsid w:val="4B376E2E"/>
    <w:rsid w:val="4B385AE2"/>
    <w:rsid w:val="4B3F4861"/>
    <w:rsid w:val="4B50566A"/>
    <w:rsid w:val="4B53122B"/>
    <w:rsid w:val="4B571002"/>
    <w:rsid w:val="4B69422C"/>
    <w:rsid w:val="4B705844"/>
    <w:rsid w:val="4B7224D0"/>
    <w:rsid w:val="4B731C20"/>
    <w:rsid w:val="4B774607"/>
    <w:rsid w:val="4B7A3C96"/>
    <w:rsid w:val="4B7D4F5D"/>
    <w:rsid w:val="4B82716C"/>
    <w:rsid w:val="4B857EC6"/>
    <w:rsid w:val="4B8829C1"/>
    <w:rsid w:val="4B8A2918"/>
    <w:rsid w:val="4B901807"/>
    <w:rsid w:val="4B9B25E4"/>
    <w:rsid w:val="4BA53730"/>
    <w:rsid w:val="4BAD4CA2"/>
    <w:rsid w:val="4BC456EF"/>
    <w:rsid w:val="4BC647B0"/>
    <w:rsid w:val="4BD94F2A"/>
    <w:rsid w:val="4BDF4B49"/>
    <w:rsid w:val="4BE57E16"/>
    <w:rsid w:val="4BE819D0"/>
    <w:rsid w:val="4BE8649D"/>
    <w:rsid w:val="4C0236B4"/>
    <w:rsid w:val="4C192F75"/>
    <w:rsid w:val="4C1C0BD6"/>
    <w:rsid w:val="4C1E085C"/>
    <w:rsid w:val="4C20259F"/>
    <w:rsid w:val="4C312ECF"/>
    <w:rsid w:val="4C37577D"/>
    <w:rsid w:val="4C422CA7"/>
    <w:rsid w:val="4C5035A1"/>
    <w:rsid w:val="4C5F0B5D"/>
    <w:rsid w:val="4C606F33"/>
    <w:rsid w:val="4C6426ED"/>
    <w:rsid w:val="4C64471A"/>
    <w:rsid w:val="4C6637C0"/>
    <w:rsid w:val="4C6C2FE2"/>
    <w:rsid w:val="4C6D5BD4"/>
    <w:rsid w:val="4C77619E"/>
    <w:rsid w:val="4C860543"/>
    <w:rsid w:val="4C8740CC"/>
    <w:rsid w:val="4C8E48D8"/>
    <w:rsid w:val="4C974009"/>
    <w:rsid w:val="4CA6111C"/>
    <w:rsid w:val="4CB3742C"/>
    <w:rsid w:val="4CC17C3E"/>
    <w:rsid w:val="4CC301A0"/>
    <w:rsid w:val="4CC42462"/>
    <w:rsid w:val="4CC42E37"/>
    <w:rsid w:val="4CC82CB8"/>
    <w:rsid w:val="4CCD5921"/>
    <w:rsid w:val="4CD550D5"/>
    <w:rsid w:val="4CDA21DD"/>
    <w:rsid w:val="4CE472E9"/>
    <w:rsid w:val="4CF04CFC"/>
    <w:rsid w:val="4CF26BC3"/>
    <w:rsid w:val="4CF931BD"/>
    <w:rsid w:val="4CFB51DB"/>
    <w:rsid w:val="4D0F1680"/>
    <w:rsid w:val="4D1D6CA0"/>
    <w:rsid w:val="4D2609C6"/>
    <w:rsid w:val="4D2F5C2A"/>
    <w:rsid w:val="4D3038E4"/>
    <w:rsid w:val="4D33448A"/>
    <w:rsid w:val="4D3F4840"/>
    <w:rsid w:val="4D410392"/>
    <w:rsid w:val="4D422D07"/>
    <w:rsid w:val="4D427BBD"/>
    <w:rsid w:val="4D570519"/>
    <w:rsid w:val="4D5C5732"/>
    <w:rsid w:val="4D656800"/>
    <w:rsid w:val="4D6B37AE"/>
    <w:rsid w:val="4D705706"/>
    <w:rsid w:val="4D76173E"/>
    <w:rsid w:val="4D7B16AB"/>
    <w:rsid w:val="4D7E4C40"/>
    <w:rsid w:val="4D8D11C1"/>
    <w:rsid w:val="4D922BF5"/>
    <w:rsid w:val="4D992D4D"/>
    <w:rsid w:val="4D9B5A29"/>
    <w:rsid w:val="4DA53BC8"/>
    <w:rsid w:val="4DB41824"/>
    <w:rsid w:val="4DBD1F3A"/>
    <w:rsid w:val="4DC31B92"/>
    <w:rsid w:val="4DD37693"/>
    <w:rsid w:val="4DD56C20"/>
    <w:rsid w:val="4DD776ED"/>
    <w:rsid w:val="4DDF6E13"/>
    <w:rsid w:val="4DE60E50"/>
    <w:rsid w:val="4DF20FEE"/>
    <w:rsid w:val="4E0939E5"/>
    <w:rsid w:val="4E176DF3"/>
    <w:rsid w:val="4E1A2F68"/>
    <w:rsid w:val="4E210A5C"/>
    <w:rsid w:val="4E3A2C21"/>
    <w:rsid w:val="4E412A4D"/>
    <w:rsid w:val="4E4475F5"/>
    <w:rsid w:val="4E587463"/>
    <w:rsid w:val="4E68543B"/>
    <w:rsid w:val="4E6906EE"/>
    <w:rsid w:val="4E694E99"/>
    <w:rsid w:val="4E795FE9"/>
    <w:rsid w:val="4E797F06"/>
    <w:rsid w:val="4E904370"/>
    <w:rsid w:val="4E937763"/>
    <w:rsid w:val="4E9E5BA9"/>
    <w:rsid w:val="4E9F5613"/>
    <w:rsid w:val="4EA84B84"/>
    <w:rsid w:val="4EA9172F"/>
    <w:rsid w:val="4EAC241A"/>
    <w:rsid w:val="4EB67945"/>
    <w:rsid w:val="4ECA2CB3"/>
    <w:rsid w:val="4EE61722"/>
    <w:rsid w:val="4EE86D63"/>
    <w:rsid w:val="4EEC3838"/>
    <w:rsid w:val="4EEE11A3"/>
    <w:rsid w:val="4EF00A80"/>
    <w:rsid w:val="4EFE4EC2"/>
    <w:rsid w:val="4EFF3444"/>
    <w:rsid w:val="4F0441E5"/>
    <w:rsid w:val="4F155F27"/>
    <w:rsid w:val="4F1A238F"/>
    <w:rsid w:val="4F376D93"/>
    <w:rsid w:val="4F3C5F57"/>
    <w:rsid w:val="4F3D4163"/>
    <w:rsid w:val="4F50208E"/>
    <w:rsid w:val="4F6E6F86"/>
    <w:rsid w:val="4F7278C6"/>
    <w:rsid w:val="4F760AD2"/>
    <w:rsid w:val="4F764CC2"/>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E1157"/>
    <w:rsid w:val="4FFF3806"/>
    <w:rsid w:val="4FFF49BB"/>
    <w:rsid w:val="50046739"/>
    <w:rsid w:val="50095827"/>
    <w:rsid w:val="50100572"/>
    <w:rsid w:val="50186BF6"/>
    <w:rsid w:val="502751AB"/>
    <w:rsid w:val="502C4247"/>
    <w:rsid w:val="502D25A0"/>
    <w:rsid w:val="50347D28"/>
    <w:rsid w:val="50363B3A"/>
    <w:rsid w:val="503D5373"/>
    <w:rsid w:val="504261AC"/>
    <w:rsid w:val="504311C0"/>
    <w:rsid w:val="505F1426"/>
    <w:rsid w:val="506309DB"/>
    <w:rsid w:val="50752AF6"/>
    <w:rsid w:val="50AF1C59"/>
    <w:rsid w:val="50B139BD"/>
    <w:rsid w:val="50B92297"/>
    <w:rsid w:val="50BD1498"/>
    <w:rsid w:val="50BE1B1D"/>
    <w:rsid w:val="50C51F05"/>
    <w:rsid w:val="50C65E30"/>
    <w:rsid w:val="50CC04D7"/>
    <w:rsid w:val="50D228CF"/>
    <w:rsid w:val="50E57716"/>
    <w:rsid w:val="50E63519"/>
    <w:rsid w:val="50ED76FB"/>
    <w:rsid w:val="50F568D9"/>
    <w:rsid w:val="50FB264B"/>
    <w:rsid w:val="50FD2A03"/>
    <w:rsid w:val="51187610"/>
    <w:rsid w:val="51196135"/>
    <w:rsid w:val="51375EB3"/>
    <w:rsid w:val="513853CC"/>
    <w:rsid w:val="51392D77"/>
    <w:rsid w:val="513D480C"/>
    <w:rsid w:val="513F081D"/>
    <w:rsid w:val="514C1E16"/>
    <w:rsid w:val="515A64E3"/>
    <w:rsid w:val="515C30A6"/>
    <w:rsid w:val="5161698E"/>
    <w:rsid w:val="517C0CA0"/>
    <w:rsid w:val="517F00BC"/>
    <w:rsid w:val="5195533B"/>
    <w:rsid w:val="519645E3"/>
    <w:rsid w:val="5199124A"/>
    <w:rsid w:val="519D2F03"/>
    <w:rsid w:val="51BE2EAE"/>
    <w:rsid w:val="51D43598"/>
    <w:rsid w:val="51DA51E8"/>
    <w:rsid w:val="51DA5890"/>
    <w:rsid w:val="51E90CD5"/>
    <w:rsid w:val="51EE7B3E"/>
    <w:rsid w:val="51F96848"/>
    <w:rsid w:val="52073487"/>
    <w:rsid w:val="52084C4B"/>
    <w:rsid w:val="521C5D43"/>
    <w:rsid w:val="521D7ED7"/>
    <w:rsid w:val="5239194F"/>
    <w:rsid w:val="523B12F6"/>
    <w:rsid w:val="52612620"/>
    <w:rsid w:val="526478E1"/>
    <w:rsid w:val="526A546C"/>
    <w:rsid w:val="526E7933"/>
    <w:rsid w:val="52790FD9"/>
    <w:rsid w:val="52887A7D"/>
    <w:rsid w:val="52894DE6"/>
    <w:rsid w:val="528C5E23"/>
    <w:rsid w:val="52993DA6"/>
    <w:rsid w:val="529F0D9B"/>
    <w:rsid w:val="52CA3D8F"/>
    <w:rsid w:val="52CD21D8"/>
    <w:rsid w:val="52CF0A4A"/>
    <w:rsid w:val="52DC7C0E"/>
    <w:rsid w:val="52DD5B35"/>
    <w:rsid w:val="52DF42EC"/>
    <w:rsid w:val="52E427EA"/>
    <w:rsid w:val="52EB52A5"/>
    <w:rsid w:val="52EF0051"/>
    <w:rsid w:val="52FB77A6"/>
    <w:rsid w:val="52FC1C88"/>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71D4D"/>
    <w:rsid w:val="536D41AE"/>
    <w:rsid w:val="536F7573"/>
    <w:rsid w:val="53737F99"/>
    <w:rsid w:val="53763151"/>
    <w:rsid w:val="53794E20"/>
    <w:rsid w:val="5391597D"/>
    <w:rsid w:val="53943B08"/>
    <w:rsid w:val="53947DE7"/>
    <w:rsid w:val="539650C0"/>
    <w:rsid w:val="53A07402"/>
    <w:rsid w:val="53A106E5"/>
    <w:rsid w:val="53A27D95"/>
    <w:rsid w:val="53A911A1"/>
    <w:rsid w:val="53B414D7"/>
    <w:rsid w:val="53DB35A3"/>
    <w:rsid w:val="53DC2808"/>
    <w:rsid w:val="53DF54A9"/>
    <w:rsid w:val="53E07B00"/>
    <w:rsid w:val="54002BFD"/>
    <w:rsid w:val="54074052"/>
    <w:rsid w:val="541942B6"/>
    <w:rsid w:val="542A3FEF"/>
    <w:rsid w:val="542A5504"/>
    <w:rsid w:val="542F7A60"/>
    <w:rsid w:val="54550067"/>
    <w:rsid w:val="54580F5A"/>
    <w:rsid w:val="5478695B"/>
    <w:rsid w:val="54860559"/>
    <w:rsid w:val="548810E8"/>
    <w:rsid w:val="549438A5"/>
    <w:rsid w:val="549C6534"/>
    <w:rsid w:val="54A14490"/>
    <w:rsid w:val="54A153FA"/>
    <w:rsid w:val="54AB36A1"/>
    <w:rsid w:val="54B171C4"/>
    <w:rsid w:val="54B61DA8"/>
    <w:rsid w:val="54B62C99"/>
    <w:rsid w:val="54CC47C4"/>
    <w:rsid w:val="54DF688B"/>
    <w:rsid w:val="54E95643"/>
    <w:rsid w:val="54FC2780"/>
    <w:rsid w:val="5501396B"/>
    <w:rsid w:val="550E6C32"/>
    <w:rsid w:val="551C2E90"/>
    <w:rsid w:val="554E0863"/>
    <w:rsid w:val="555737A6"/>
    <w:rsid w:val="55577AFF"/>
    <w:rsid w:val="55611FED"/>
    <w:rsid w:val="556C1CC4"/>
    <w:rsid w:val="55712540"/>
    <w:rsid w:val="55743D64"/>
    <w:rsid w:val="5577741D"/>
    <w:rsid w:val="558126EC"/>
    <w:rsid w:val="55883669"/>
    <w:rsid w:val="558A44CE"/>
    <w:rsid w:val="55906233"/>
    <w:rsid w:val="559537DA"/>
    <w:rsid w:val="55B403DD"/>
    <w:rsid w:val="55C0140E"/>
    <w:rsid w:val="55C529C2"/>
    <w:rsid w:val="55CF48E7"/>
    <w:rsid w:val="55D0342A"/>
    <w:rsid w:val="55D849A1"/>
    <w:rsid w:val="55E31A15"/>
    <w:rsid w:val="55E5367A"/>
    <w:rsid w:val="55E83D2F"/>
    <w:rsid w:val="55F076BB"/>
    <w:rsid w:val="560469FC"/>
    <w:rsid w:val="5609174E"/>
    <w:rsid w:val="56214A7B"/>
    <w:rsid w:val="562E1F90"/>
    <w:rsid w:val="56373380"/>
    <w:rsid w:val="563B616D"/>
    <w:rsid w:val="564244CD"/>
    <w:rsid w:val="56436207"/>
    <w:rsid w:val="56574FB4"/>
    <w:rsid w:val="566510CB"/>
    <w:rsid w:val="567215D4"/>
    <w:rsid w:val="567A6CC0"/>
    <w:rsid w:val="568D0940"/>
    <w:rsid w:val="56902B88"/>
    <w:rsid w:val="56927DA4"/>
    <w:rsid w:val="56A032E3"/>
    <w:rsid w:val="56A04928"/>
    <w:rsid w:val="56A50EBB"/>
    <w:rsid w:val="56AB6535"/>
    <w:rsid w:val="56AD339E"/>
    <w:rsid w:val="56B16CBD"/>
    <w:rsid w:val="56B96F66"/>
    <w:rsid w:val="56BE75C0"/>
    <w:rsid w:val="56C12AE4"/>
    <w:rsid w:val="56C71CAD"/>
    <w:rsid w:val="56CE5F20"/>
    <w:rsid w:val="56DA3EBA"/>
    <w:rsid w:val="56E33383"/>
    <w:rsid w:val="56E53192"/>
    <w:rsid w:val="56E81DBE"/>
    <w:rsid w:val="56ED5E03"/>
    <w:rsid w:val="56F12D97"/>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7E3A90"/>
    <w:rsid w:val="57852464"/>
    <w:rsid w:val="579A7C07"/>
    <w:rsid w:val="57A336EB"/>
    <w:rsid w:val="57A46FEE"/>
    <w:rsid w:val="57AF7168"/>
    <w:rsid w:val="57B02763"/>
    <w:rsid w:val="57B6547E"/>
    <w:rsid w:val="57BC7C9C"/>
    <w:rsid w:val="57BF6387"/>
    <w:rsid w:val="57D01AAC"/>
    <w:rsid w:val="57DD4E33"/>
    <w:rsid w:val="57DF6500"/>
    <w:rsid w:val="57E73B61"/>
    <w:rsid w:val="57F01737"/>
    <w:rsid w:val="57F73696"/>
    <w:rsid w:val="5803475B"/>
    <w:rsid w:val="580A6FBE"/>
    <w:rsid w:val="580C2285"/>
    <w:rsid w:val="580F5BC1"/>
    <w:rsid w:val="5822786C"/>
    <w:rsid w:val="58243371"/>
    <w:rsid w:val="58293CFC"/>
    <w:rsid w:val="582965B8"/>
    <w:rsid w:val="58302962"/>
    <w:rsid w:val="5835010B"/>
    <w:rsid w:val="5846366F"/>
    <w:rsid w:val="58590DD2"/>
    <w:rsid w:val="5863473D"/>
    <w:rsid w:val="586E1447"/>
    <w:rsid w:val="5878285F"/>
    <w:rsid w:val="587E2D46"/>
    <w:rsid w:val="588509DD"/>
    <w:rsid w:val="588669D3"/>
    <w:rsid w:val="588D555E"/>
    <w:rsid w:val="58953B9F"/>
    <w:rsid w:val="58957A8C"/>
    <w:rsid w:val="589C0BA1"/>
    <w:rsid w:val="589F18E4"/>
    <w:rsid w:val="58A26665"/>
    <w:rsid w:val="58B156C4"/>
    <w:rsid w:val="58B8443B"/>
    <w:rsid w:val="58BC4002"/>
    <w:rsid w:val="58C6178A"/>
    <w:rsid w:val="58DB456A"/>
    <w:rsid w:val="58E909DD"/>
    <w:rsid w:val="58EB1C90"/>
    <w:rsid w:val="58F57D12"/>
    <w:rsid w:val="59267EF0"/>
    <w:rsid w:val="59421F7E"/>
    <w:rsid w:val="59424509"/>
    <w:rsid w:val="594935F2"/>
    <w:rsid w:val="595C0946"/>
    <w:rsid w:val="59604A5E"/>
    <w:rsid w:val="59642A7A"/>
    <w:rsid w:val="596D32B4"/>
    <w:rsid w:val="5974322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A6592"/>
    <w:rsid w:val="5A2D0557"/>
    <w:rsid w:val="5A340B09"/>
    <w:rsid w:val="5A3F3527"/>
    <w:rsid w:val="5A440B9D"/>
    <w:rsid w:val="5A5128C3"/>
    <w:rsid w:val="5A525A46"/>
    <w:rsid w:val="5A575C31"/>
    <w:rsid w:val="5A5C7772"/>
    <w:rsid w:val="5A5D1A15"/>
    <w:rsid w:val="5A6336A1"/>
    <w:rsid w:val="5A6B7C88"/>
    <w:rsid w:val="5A73612A"/>
    <w:rsid w:val="5A8F76C1"/>
    <w:rsid w:val="5AA541CF"/>
    <w:rsid w:val="5AAE5BEE"/>
    <w:rsid w:val="5AAF48E4"/>
    <w:rsid w:val="5AB96041"/>
    <w:rsid w:val="5ABC4831"/>
    <w:rsid w:val="5ABC6BFA"/>
    <w:rsid w:val="5AC43AE0"/>
    <w:rsid w:val="5AD510F0"/>
    <w:rsid w:val="5AF82FCA"/>
    <w:rsid w:val="5AF8657A"/>
    <w:rsid w:val="5B000850"/>
    <w:rsid w:val="5B187495"/>
    <w:rsid w:val="5B1B10FA"/>
    <w:rsid w:val="5B1B5003"/>
    <w:rsid w:val="5B225A79"/>
    <w:rsid w:val="5B2445B5"/>
    <w:rsid w:val="5B2559CC"/>
    <w:rsid w:val="5B3B129B"/>
    <w:rsid w:val="5B492D29"/>
    <w:rsid w:val="5B532679"/>
    <w:rsid w:val="5B5B64C5"/>
    <w:rsid w:val="5B627DC7"/>
    <w:rsid w:val="5B6C5737"/>
    <w:rsid w:val="5B896F76"/>
    <w:rsid w:val="5B975E5B"/>
    <w:rsid w:val="5B9C0984"/>
    <w:rsid w:val="5BB214B7"/>
    <w:rsid w:val="5BBE6EBD"/>
    <w:rsid w:val="5BC02787"/>
    <w:rsid w:val="5BC52B9A"/>
    <w:rsid w:val="5BC560D7"/>
    <w:rsid w:val="5BD41880"/>
    <w:rsid w:val="5BE23D1E"/>
    <w:rsid w:val="5BE24CD9"/>
    <w:rsid w:val="5BE50680"/>
    <w:rsid w:val="5BE52EE1"/>
    <w:rsid w:val="5BEA2231"/>
    <w:rsid w:val="5BF23EBC"/>
    <w:rsid w:val="5BF524ED"/>
    <w:rsid w:val="5BF65E64"/>
    <w:rsid w:val="5BFD4032"/>
    <w:rsid w:val="5C004101"/>
    <w:rsid w:val="5C087355"/>
    <w:rsid w:val="5C1832F4"/>
    <w:rsid w:val="5C1A3044"/>
    <w:rsid w:val="5C304FCE"/>
    <w:rsid w:val="5C500AF8"/>
    <w:rsid w:val="5C5E033F"/>
    <w:rsid w:val="5C5F12EB"/>
    <w:rsid w:val="5C6727D0"/>
    <w:rsid w:val="5C6875EE"/>
    <w:rsid w:val="5C6F12DC"/>
    <w:rsid w:val="5C7A2919"/>
    <w:rsid w:val="5C833A81"/>
    <w:rsid w:val="5C8F25C3"/>
    <w:rsid w:val="5CAB281F"/>
    <w:rsid w:val="5CC43404"/>
    <w:rsid w:val="5CC93DAE"/>
    <w:rsid w:val="5CD31EE3"/>
    <w:rsid w:val="5CE1654F"/>
    <w:rsid w:val="5CF70E19"/>
    <w:rsid w:val="5D072BC8"/>
    <w:rsid w:val="5D076525"/>
    <w:rsid w:val="5D0A3A75"/>
    <w:rsid w:val="5D19384D"/>
    <w:rsid w:val="5D2B5629"/>
    <w:rsid w:val="5D315CEB"/>
    <w:rsid w:val="5D3B59DF"/>
    <w:rsid w:val="5D401B97"/>
    <w:rsid w:val="5D473075"/>
    <w:rsid w:val="5D4822EE"/>
    <w:rsid w:val="5D5864DB"/>
    <w:rsid w:val="5D73393B"/>
    <w:rsid w:val="5D784379"/>
    <w:rsid w:val="5D7B3457"/>
    <w:rsid w:val="5D8B2715"/>
    <w:rsid w:val="5D8D250E"/>
    <w:rsid w:val="5D915AFD"/>
    <w:rsid w:val="5D9F7C74"/>
    <w:rsid w:val="5DAE2E8C"/>
    <w:rsid w:val="5DAE7F34"/>
    <w:rsid w:val="5DB65502"/>
    <w:rsid w:val="5DDD64EA"/>
    <w:rsid w:val="5E00720B"/>
    <w:rsid w:val="5E012896"/>
    <w:rsid w:val="5E0825B2"/>
    <w:rsid w:val="5E0A6049"/>
    <w:rsid w:val="5E156B70"/>
    <w:rsid w:val="5E21165A"/>
    <w:rsid w:val="5E226508"/>
    <w:rsid w:val="5E232EE2"/>
    <w:rsid w:val="5E344390"/>
    <w:rsid w:val="5E4250B0"/>
    <w:rsid w:val="5E4A3E88"/>
    <w:rsid w:val="5E4E539E"/>
    <w:rsid w:val="5E5F0687"/>
    <w:rsid w:val="5E680BE8"/>
    <w:rsid w:val="5E6B7FF0"/>
    <w:rsid w:val="5E783202"/>
    <w:rsid w:val="5E7842EE"/>
    <w:rsid w:val="5E803D55"/>
    <w:rsid w:val="5E854DAE"/>
    <w:rsid w:val="5EA648E2"/>
    <w:rsid w:val="5EB52E6F"/>
    <w:rsid w:val="5EC17975"/>
    <w:rsid w:val="5EC94A60"/>
    <w:rsid w:val="5ED95EEE"/>
    <w:rsid w:val="5EE55DDE"/>
    <w:rsid w:val="5EF04AC4"/>
    <w:rsid w:val="5EF47473"/>
    <w:rsid w:val="5EFE064F"/>
    <w:rsid w:val="5F061DE5"/>
    <w:rsid w:val="5F09081F"/>
    <w:rsid w:val="5F1111AD"/>
    <w:rsid w:val="5F121A0D"/>
    <w:rsid w:val="5F183214"/>
    <w:rsid w:val="5F1B27DE"/>
    <w:rsid w:val="5F2B4FCA"/>
    <w:rsid w:val="5F2C64A1"/>
    <w:rsid w:val="5F39582E"/>
    <w:rsid w:val="5F45602C"/>
    <w:rsid w:val="5F4632C4"/>
    <w:rsid w:val="5F482400"/>
    <w:rsid w:val="5F4A58A7"/>
    <w:rsid w:val="5F57147C"/>
    <w:rsid w:val="5F646936"/>
    <w:rsid w:val="5F6A7E17"/>
    <w:rsid w:val="5F764A5E"/>
    <w:rsid w:val="5F7D66DE"/>
    <w:rsid w:val="5F7F6ACD"/>
    <w:rsid w:val="5F810033"/>
    <w:rsid w:val="5F8C52DB"/>
    <w:rsid w:val="5F966692"/>
    <w:rsid w:val="5F99467F"/>
    <w:rsid w:val="5FA00A10"/>
    <w:rsid w:val="5FA4374A"/>
    <w:rsid w:val="5FA4380A"/>
    <w:rsid w:val="5FAB674F"/>
    <w:rsid w:val="5FB25387"/>
    <w:rsid w:val="5FC53509"/>
    <w:rsid w:val="5FD20829"/>
    <w:rsid w:val="5FF744A9"/>
    <w:rsid w:val="5FFE6C22"/>
    <w:rsid w:val="60000309"/>
    <w:rsid w:val="600B6B90"/>
    <w:rsid w:val="600C3224"/>
    <w:rsid w:val="600F6605"/>
    <w:rsid w:val="60143AD3"/>
    <w:rsid w:val="60281FCD"/>
    <w:rsid w:val="603771DA"/>
    <w:rsid w:val="605006BC"/>
    <w:rsid w:val="60674769"/>
    <w:rsid w:val="60734371"/>
    <w:rsid w:val="6085543E"/>
    <w:rsid w:val="60907882"/>
    <w:rsid w:val="609258F0"/>
    <w:rsid w:val="6093287A"/>
    <w:rsid w:val="609517E9"/>
    <w:rsid w:val="609A2B73"/>
    <w:rsid w:val="60BA0952"/>
    <w:rsid w:val="60BD4CB8"/>
    <w:rsid w:val="60C5483E"/>
    <w:rsid w:val="60C867C5"/>
    <w:rsid w:val="60D3354A"/>
    <w:rsid w:val="60D67E78"/>
    <w:rsid w:val="60DB0800"/>
    <w:rsid w:val="60DE0DB6"/>
    <w:rsid w:val="60E136F6"/>
    <w:rsid w:val="60E15DAE"/>
    <w:rsid w:val="60E54273"/>
    <w:rsid w:val="60F46839"/>
    <w:rsid w:val="61034098"/>
    <w:rsid w:val="61067A64"/>
    <w:rsid w:val="610C7D1D"/>
    <w:rsid w:val="6112529A"/>
    <w:rsid w:val="611A7B15"/>
    <w:rsid w:val="611C59F7"/>
    <w:rsid w:val="611F0B09"/>
    <w:rsid w:val="61200AAF"/>
    <w:rsid w:val="612D2321"/>
    <w:rsid w:val="61455CF4"/>
    <w:rsid w:val="61466898"/>
    <w:rsid w:val="615E3F04"/>
    <w:rsid w:val="616B25D0"/>
    <w:rsid w:val="616E223F"/>
    <w:rsid w:val="61751F59"/>
    <w:rsid w:val="617C28AF"/>
    <w:rsid w:val="61963257"/>
    <w:rsid w:val="619C38B4"/>
    <w:rsid w:val="61A4486B"/>
    <w:rsid w:val="61B33DDF"/>
    <w:rsid w:val="61B504DF"/>
    <w:rsid w:val="61BB4A1B"/>
    <w:rsid w:val="61BC23E5"/>
    <w:rsid w:val="61D21120"/>
    <w:rsid w:val="61E728F9"/>
    <w:rsid w:val="61F3667F"/>
    <w:rsid w:val="61F43F82"/>
    <w:rsid w:val="61FB110C"/>
    <w:rsid w:val="620B2B74"/>
    <w:rsid w:val="62185165"/>
    <w:rsid w:val="621D66D4"/>
    <w:rsid w:val="62460FCD"/>
    <w:rsid w:val="62480FF0"/>
    <w:rsid w:val="624B14C1"/>
    <w:rsid w:val="625B2CDA"/>
    <w:rsid w:val="625C1176"/>
    <w:rsid w:val="62630C6B"/>
    <w:rsid w:val="626C6376"/>
    <w:rsid w:val="627301E8"/>
    <w:rsid w:val="6295194F"/>
    <w:rsid w:val="629A07BC"/>
    <w:rsid w:val="62BA3B2B"/>
    <w:rsid w:val="62C37511"/>
    <w:rsid w:val="62D11C3F"/>
    <w:rsid w:val="62E157FC"/>
    <w:rsid w:val="62E81148"/>
    <w:rsid w:val="62F76986"/>
    <w:rsid w:val="63074CE8"/>
    <w:rsid w:val="631B5A5C"/>
    <w:rsid w:val="63212420"/>
    <w:rsid w:val="632936A9"/>
    <w:rsid w:val="632F06D8"/>
    <w:rsid w:val="63317698"/>
    <w:rsid w:val="63340EAE"/>
    <w:rsid w:val="63386459"/>
    <w:rsid w:val="63443DC2"/>
    <w:rsid w:val="634B6A95"/>
    <w:rsid w:val="634F6CB9"/>
    <w:rsid w:val="63615D3E"/>
    <w:rsid w:val="6367139B"/>
    <w:rsid w:val="63683422"/>
    <w:rsid w:val="636C62BA"/>
    <w:rsid w:val="63726F7F"/>
    <w:rsid w:val="63821D61"/>
    <w:rsid w:val="63827E36"/>
    <w:rsid w:val="63842477"/>
    <w:rsid w:val="638B04D2"/>
    <w:rsid w:val="63A85CD1"/>
    <w:rsid w:val="63AB2A39"/>
    <w:rsid w:val="63AC7FB5"/>
    <w:rsid w:val="63B02C42"/>
    <w:rsid w:val="63C51AD9"/>
    <w:rsid w:val="63C54411"/>
    <w:rsid w:val="63CD27C8"/>
    <w:rsid w:val="63CF2629"/>
    <w:rsid w:val="63D40E51"/>
    <w:rsid w:val="63D63E30"/>
    <w:rsid w:val="63E263F4"/>
    <w:rsid w:val="63E418C9"/>
    <w:rsid w:val="63FD7654"/>
    <w:rsid w:val="640C2BB6"/>
    <w:rsid w:val="643F3FFC"/>
    <w:rsid w:val="645B5DC0"/>
    <w:rsid w:val="64624069"/>
    <w:rsid w:val="646A06E2"/>
    <w:rsid w:val="646C4EF1"/>
    <w:rsid w:val="646C4FB8"/>
    <w:rsid w:val="64706C6F"/>
    <w:rsid w:val="64814078"/>
    <w:rsid w:val="648B777B"/>
    <w:rsid w:val="64937D17"/>
    <w:rsid w:val="6494650D"/>
    <w:rsid w:val="649A6134"/>
    <w:rsid w:val="649D2569"/>
    <w:rsid w:val="64A51362"/>
    <w:rsid w:val="64A55A03"/>
    <w:rsid w:val="64A62D1B"/>
    <w:rsid w:val="64AD4200"/>
    <w:rsid w:val="64B453B1"/>
    <w:rsid w:val="64BE5702"/>
    <w:rsid w:val="64C16289"/>
    <w:rsid w:val="64CF05E4"/>
    <w:rsid w:val="64D93F02"/>
    <w:rsid w:val="64E22103"/>
    <w:rsid w:val="64E5543E"/>
    <w:rsid w:val="64E76F6D"/>
    <w:rsid w:val="64EA4517"/>
    <w:rsid w:val="64EA7349"/>
    <w:rsid w:val="64FC561C"/>
    <w:rsid w:val="64FE0E31"/>
    <w:rsid w:val="65003E5C"/>
    <w:rsid w:val="651A5C6A"/>
    <w:rsid w:val="651C38DB"/>
    <w:rsid w:val="65204394"/>
    <w:rsid w:val="6522790C"/>
    <w:rsid w:val="652C76EF"/>
    <w:rsid w:val="653E78B1"/>
    <w:rsid w:val="65403733"/>
    <w:rsid w:val="65430291"/>
    <w:rsid w:val="654468BF"/>
    <w:rsid w:val="655754CB"/>
    <w:rsid w:val="655E2D72"/>
    <w:rsid w:val="656171FC"/>
    <w:rsid w:val="6570700F"/>
    <w:rsid w:val="657F0CE6"/>
    <w:rsid w:val="65833C4F"/>
    <w:rsid w:val="658B37B6"/>
    <w:rsid w:val="659C17EE"/>
    <w:rsid w:val="65A0201F"/>
    <w:rsid w:val="65A65E7D"/>
    <w:rsid w:val="65BC6E17"/>
    <w:rsid w:val="65BD3777"/>
    <w:rsid w:val="65D70270"/>
    <w:rsid w:val="65E91B08"/>
    <w:rsid w:val="65F5725F"/>
    <w:rsid w:val="66032E7B"/>
    <w:rsid w:val="66053581"/>
    <w:rsid w:val="660A19B0"/>
    <w:rsid w:val="661026AA"/>
    <w:rsid w:val="661D3F49"/>
    <w:rsid w:val="66213A5C"/>
    <w:rsid w:val="6624683A"/>
    <w:rsid w:val="6631571B"/>
    <w:rsid w:val="663D054E"/>
    <w:rsid w:val="66460692"/>
    <w:rsid w:val="66631FDD"/>
    <w:rsid w:val="66727620"/>
    <w:rsid w:val="6679372B"/>
    <w:rsid w:val="667A0093"/>
    <w:rsid w:val="667B3C56"/>
    <w:rsid w:val="66953491"/>
    <w:rsid w:val="66980BF6"/>
    <w:rsid w:val="66A56CDB"/>
    <w:rsid w:val="66B81454"/>
    <w:rsid w:val="66BE1292"/>
    <w:rsid w:val="66BF76F1"/>
    <w:rsid w:val="66D61A8D"/>
    <w:rsid w:val="66DA3497"/>
    <w:rsid w:val="66DC5BF8"/>
    <w:rsid w:val="66E173F9"/>
    <w:rsid w:val="66E3226C"/>
    <w:rsid w:val="66E611A7"/>
    <w:rsid w:val="66EC5E36"/>
    <w:rsid w:val="66F76034"/>
    <w:rsid w:val="67181932"/>
    <w:rsid w:val="6726232E"/>
    <w:rsid w:val="672A4901"/>
    <w:rsid w:val="67441B08"/>
    <w:rsid w:val="67513E69"/>
    <w:rsid w:val="675A17FE"/>
    <w:rsid w:val="676E1585"/>
    <w:rsid w:val="677E2FA1"/>
    <w:rsid w:val="67836FB1"/>
    <w:rsid w:val="678A44B2"/>
    <w:rsid w:val="678C1D52"/>
    <w:rsid w:val="67973403"/>
    <w:rsid w:val="67A67078"/>
    <w:rsid w:val="67AC341B"/>
    <w:rsid w:val="67B42C3D"/>
    <w:rsid w:val="67C149C0"/>
    <w:rsid w:val="67C7427D"/>
    <w:rsid w:val="67CA7967"/>
    <w:rsid w:val="67CC38C5"/>
    <w:rsid w:val="67D9695E"/>
    <w:rsid w:val="67DC5CEA"/>
    <w:rsid w:val="67DF18A0"/>
    <w:rsid w:val="67E024C8"/>
    <w:rsid w:val="67F5522D"/>
    <w:rsid w:val="680965F8"/>
    <w:rsid w:val="680E4ECF"/>
    <w:rsid w:val="681778E7"/>
    <w:rsid w:val="68240EAA"/>
    <w:rsid w:val="683D75A2"/>
    <w:rsid w:val="6850356A"/>
    <w:rsid w:val="685465AC"/>
    <w:rsid w:val="68733F18"/>
    <w:rsid w:val="687442EE"/>
    <w:rsid w:val="68772A56"/>
    <w:rsid w:val="689B3E14"/>
    <w:rsid w:val="689C5C1D"/>
    <w:rsid w:val="689D6F4C"/>
    <w:rsid w:val="689F2FA0"/>
    <w:rsid w:val="68A02CE9"/>
    <w:rsid w:val="68A41350"/>
    <w:rsid w:val="68AD26AA"/>
    <w:rsid w:val="68BC14B0"/>
    <w:rsid w:val="68BC512A"/>
    <w:rsid w:val="68BF0078"/>
    <w:rsid w:val="68C20D16"/>
    <w:rsid w:val="68DD619B"/>
    <w:rsid w:val="68F377E3"/>
    <w:rsid w:val="68FD5593"/>
    <w:rsid w:val="69183F42"/>
    <w:rsid w:val="691B307E"/>
    <w:rsid w:val="692B305F"/>
    <w:rsid w:val="692B3BF3"/>
    <w:rsid w:val="692F175A"/>
    <w:rsid w:val="69301A1D"/>
    <w:rsid w:val="6934218F"/>
    <w:rsid w:val="693C5AA5"/>
    <w:rsid w:val="693D00F1"/>
    <w:rsid w:val="693E13B7"/>
    <w:rsid w:val="69421566"/>
    <w:rsid w:val="694A6D5C"/>
    <w:rsid w:val="6951205B"/>
    <w:rsid w:val="6953741D"/>
    <w:rsid w:val="69552B47"/>
    <w:rsid w:val="6956014F"/>
    <w:rsid w:val="696F3842"/>
    <w:rsid w:val="69731101"/>
    <w:rsid w:val="697D087B"/>
    <w:rsid w:val="69A71B52"/>
    <w:rsid w:val="69A7770D"/>
    <w:rsid w:val="69AC0B64"/>
    <w:rsid w:val="69AE2406"/>
    <w:rsid w:val="69B27491"/>
    <w:rsid w:val="69B27C94"/>
    <w:rsid w:val="69BA2288"/>
    <w:rsid w:val="69D2134C"/>
    <w:rsid w:val="69D537ED"/>
    <w:rsid w:val="69DC3AC1"/>
    <w:rsid w:val="69E673F8"/>
    <w:rsid w:val="69EA6C64"/>
    <w:rsid w:val="69EB2120"/>
    <w:rsid w:val="69EF180F"/>
    <w:rsid w:val="69F00B35"/>
    <w:rsid w:val="69F10C55"/>
    <w:rsid w:val="69F224F8"/>
    <w:rsid w:val="69F3045E"/>
    <w:rsid w:val="69F3790F"/>
    <w:rsid w:val="6A036F5F"/>
    <w:rsid w:val="6A12415B"/>
    <w:rsid w:val="6A152CC8"/>
    <w:rsid w:val="6A1D05D4"/>
    <w:rsid w:val="6A25601C"/>
    <w:rsid w:val="6A2750C5"/>
    <w:rsid w:val="6A290AA5"/>
    <w:rsid w:val="6A2A46CE"/>
    <w:rsid w:val="6A2F521E"/>
    <w:rsid w:val="6A3A1167"/>
    <w:rsid w:val="6A3F4FDB"/>
    <w:rsid w:val="6A532FF6"/>
    <w:rsid w:val="6A601C8F"/>
    <w:rsid w:val="6A7174A5"/>
    <w:rsid w:val="6A72508F"/>
    <w:rsid w:val="6A732254"/>
    <w:rsid w:val="6A774894"/>
    <w:rsid w:val="6A80364F"/>
    <w:rsid w:val="6A8C3EFF"/>
    <w:rsid w:val="6A916EED"/>
    <w:rsid w:val="6A9371B0"/>
    <w:rsid w:val="6A937D23"/>
    <w:rsid w:val="6A9B5915"/>
    <w:rsid w:val="6A9B7735"/>
    <w:rsid w:val="6AA258AD"/>
    <w:rsid w:val="6AAF2259"/>
    <w:rsid w:val="6AB020E1"/>
    <w:rsid w:val="6AB45A03"/>
    <w:rsid w:val="6ABE4FFD"/>
    <w:rsid w:val="6AD909E0"/>
    <w:rsid w:val="6ADC49EF"/>
    <w:rsid w:val="6ADD71F3"/>
    <w:rsid w:val="6AE26C27"/>
    <w:rsid w:val="6AED013C"/>
    <w:rsid w:val="6AF159FF"/>
    <w:rsid w:val="6AF63F29"/>
    <w:rsid w:val="6B041969"/>
    <w:rsid w:val="6B21318E"/>
    <w:rsid w:val="6B285741"/>
    <w:rsid w:val="6B340EF1"/>
    <w:rsid w:val="6B3D06AC"/>
    <w:rsid w:val="6B444BB7"/>
    <w:rsid w:val="6B4B2C3B"/>
    <w:rsid w:val="6B4B3868"/>
    <w:rsid w:val="6B5278F5"/>
    <w:rsid w:val="6B5B0A52"/>
    <w:rsid w:val="6B5B7CD6"/>
    <w:rsid w:val="6B5D2504"/>
    <w:rsid w:val="6B6C560D"/>
    <w:rsid w:val="6B735BFD"/>
    <w:rsid w:val="6B787880"/>
    <w:rsid w:val="6B846AF2"/>
    <w:rsid w:val="6B95396B"/>
    <w:rsid w:val="6BB00B8D"/>
    <w:rsid w:val="6BBB00B1"/>
    <w:rsid w:val="6BBD3E9D"/>
    <w:rsid w:val="6BC03721"/>
    <w:rsid w:val="6BC51A97"/>
    <w:rsid w:val="6BCC01D5"/>
    <w:rsid w:val="6BCF2DCA"/>
    <w:rsid w:val="6BD37D8E"/>
    <w:rsid w:val="6BDD0493"/>
    <w:rsid w:val="6BDE54AC"/>
    <w:rsid w:val="6BE068F6"/>
    <w:rsid w:val="6BE072B5"/>
    <w:rsid w:val="6BEC52EB"/>
    <w:rsid w:val="6BF229CE"/>
    <w:rsid w:val="6BF25C39"/>
    <w:rsid w:val="6C06150E"/>
    <w:rsid w:val="6C064F5D"/>
    <w:rsid w:val="6C155F31"/>
    <w:rsid w:val="6C206E21"/>
    <w:rsid w:val="6C263A06"/>
    <w:rsid w:val="6C3A624E"/>
    <w:rsid w:val="6C3F4795"/>
    <w:rsid w:val="6C431738"/>
    <w:rsid w:val="6C505966"/>
    <w:rsid w:val="6C5D04BB"/>
    <w:rsid w:val="6C666C3C"/>
    <w:rsid w:val="6C6833E1"/>
    <w:rsid w:val="6C8532EF"/>
    <w:rsid w:val="6C8E4315"/>
    <w:rsid w:val="6C95615F"/>
    <w:rsid w:val="6CA94419"/>
    <w:rsid w:val="6CB242A2"/>
    <w:rsid w:val="6CC818AD"/>
    <w:rsid w:val="6CE0612A"/>
    <w:rsid w:val="6CE269D3"/>
    <w:rsid w:val="6CED284E"/>
    <w:rsid w:val="6CF04EB7"/>
    <w:rsid w:val="6CF17872"/>
    <w:rsid w:val="6CF76712"/>
    <w:rsid w:val="6CFD23D1"/>
    <w:rsid w:val="6D033EFD"/>
    <w:rsid w:val="6D0A7734"/>
    <w:rsid w:val="6D274676"/>
    <w:rsid w:val="6D2F4B50"/>
    <w:rsid w:val="6D385ED1"/>
    <w:rsid w:val="6D3967DF"/>
    <w:rsid w:val="6D3C14B2"/>
    <w:rsid w:val="6D436625"/>
    <w:rsid w:val="6D4720E6"/>
    <w:rsid w:val="6D4A7F79"/>
    <w:rsid w:val="6D5E64E8"/>
    <w:rsid w:val="6D652ED0"/>
    <w:rsid w:val="6D662717"/>
    <w:rsid w:val="6D663299"/>
    <w:rsid w:val="6D770FC8"/>
    <w:rsid w:val="6D7D5646"/>
    <w:rsid w:val="6D90338E"/>
    <w:rsid w:val="6D925740"/>
    <w:rsid w:val="6D9E7C69"/>
    <w:rsid w:val="6DA71839"/>
    <w:rsid w:val="6DB20233"/>
    <w:rsid w:val="6DB81D13"/>
    <w:rsid w:val="6DC54D30"/>
    <w:rsid w:val="6DDF0294"/>
    <w:rsid w:val="6DF6740D"/>
    <w:rsid w:val="6DFB06CC"/>
    <w:rsid w:val="6E035B81"/>
    <w:rsid w:val="6E0F0D37"/>
    <w:rsid w:val="6E0F320E"/>
    <w:rsid w:val="6E131686"/>
    <w:rsid w:val="6E1B4CD0"/>
    <w:rsid w:val="6E2A0DD8"/>
    <w:rsid w:val="6E376A3A"/>
    <w:rsid w:val="6E3F1C0F"/>
    <w:rsid w:val="6E484191"/>
    <w:rsid w:val="6E561494"/>
    <w:rsid w:val="6E567CD0"/>
    <w:rsid w:val="6E633CB5"/>
    <w:rsid w:val="6E7106EF"/>
    <w:rsid w:val="6E72570E"/>
    <w:rsid w:val="6E7D62F2"/>
    <w:rsid w:val="6EAB29FB"/>
    <w:rsid w:val="6EB32B7F"/>
    <w:rsid w:val="6EB46F18"/>
    <w:rsid w:val="6EB63507"/>
    <w:rsid w:val="6EBD4DFF"/>
    <w:rsid w:val="6EC23093"/>
    <w:rsid w:val="6EC23231"/>
    <w:rsid w:val="6EC43237"/>
    <w:rsid w:val="6EC73357"/>
    <w:rsid w:val="6ED266F7"/>
    <w:rsid w:val="6EE939F2"/>
    <w:rsid w:val="6F017C9F"/>
    <w:rsid w:val="6F021829"/>
    <w:rsid w:val="6F08724A"/>
    <w:rsid w:val="6F14289F"/>
    <w:rsid w:val="6F162C84"/>
    <w:rsid w:val="6F1B7672"/>
    <w:rsid w:val="6F28474F"/>
    <w:rsid w:val="6F350882"/>
    <w:rsid w:val="6F3713E9"/>
    <w:rsid w:val="6F384951"/>
    <w:rsid w:val="6F607895"/>
    <w:rsid w:val="6F61040C"/>
    <w:rsid w:val="6F6776E1"/>
    <w:rsid w:val="6F702CF5"/>
    <w:rsid w:val="6F7E1B78"/>
    <w:rsid w:val="6F9C5D71"/>
    <w:rsid w:val="6FA3781E"/>
    <w:rsid w:val="6FAC61CF"/>
    <w:rsid w:val="6FAF5C06"/>
    <w:rsid w:val="6FB80EE8"/>
    <w:rsid w:val="6FD36624"/>
    <w:rsid w:val="6FE53444"/>
    <w:rsid w:val="6FF1528E"/>
    <w:rsid w:val="700323F1"/>
    <w:rsid w:val="700C0460"/>
    <w:rsid w:val="701458A7"/>
    <w:rsid w:val="70152C7C"/>
    <w:rsid w:val="70170F2B"/>
    <w:rsid w:val="701E2FAB"/>
    <w:rsid w:val="702267D2"/>
    <w:rsid w:val="70370653"/>
    <w:rsid w:val="70385F59"/>
    <w:rsid w:val="70387A8F"/>
    <w:rsid w:val="70680AC8"/>
    <w:rsid w:val="706D51B8"/>
    <w:rsid w:val="70712877"/>
    <w:rsid w:val="70767F2C"/>
    <w:rsid w:val="707E62BB"/>
    <w:rsid w:val="70910C43"/>
    <w:rsid w:val="709E4E34"/>
    <w:rsid w:val="709E640C"/>
    <w:rsid w:val="70A156F4"/>
    <w:rsid w:val="70AC0E63"/>
    <w:rsid w:val="70AD5CCA"/>
    <w:rsid w:val="70B56633"/>
    <w:rsid w:val="70BB0D3E"/>
    <w:rsid w:val="70C84253"/>
    <w:rsid w:val="70CF3906"/>
    <w:rsid w:val="70D91094"/>
    <w:rsid w:val="70DB76EF"/>
    <w:rsid w:val="70E47264"/>
    <w:rsid w:val="70F04773"/>
    <w:rsid w:val="710B03C6"/>
    <w:rsid w:val="712D2ADB"/>
    <w:rsid w:val="712D4159"/>
    <w:rsid w:val="71346CB6"/>
    <w:rsid w:val="7136388E"/>
    <w:rsid w:val="714200B6"/>
    <w:rsid w:val="71431855"/>
    <w:rsid w:val="7143374A"/>
    <w:rsid w:val="7148649A"/>
    <w:rsid w:val="715117C4"/>
    <w:rsid w:val="71536701"/>
    <w:rsid w:val="71554E10"/>
    <w:rsid w:val="715D365A"/>
    <w:rsid w:val="715D7038"/>
    <w:rsid w:val="716A160C"/>
    <w:rsid w:val="716B5F96"/>
    <w:rsid w:val="716D67F7"/>
    <w:rsid w:val="71747EDF"/>
    <w:rsid w:val="71890883"/>
    <w:rsid w:val="718B3A9F"/>
    <w:rsid w:val="71936186"/>
    <w:rsid w:val="71AF2F66"/>
    <w:rsid w:val="71C061A0"/>
    <w:rsid w:val="71C2301C"/>
    <w:rsid w:val="71C45E90"/>
    <w:rsid w:val="71C96C07"/>
    <w:rsid w:val="71CD28DD"/>
    <w:rsid w:val="71D00811"/>
    <w:rsid w:val="71D8692F"/>
    <w:rsid w:val="71DA7C5F"/>
    <w:rsid w:val="71DE4C74"/>
    <w:rsid w:val="71E346E4"/>
    <w:rsid w:val="71E767FC"/>
    <w:rsid w:val="71EF5D41"/>
    <w:rsid w:val="72056436"/>
    <w:rsid w:val="720979A0"/>
    <w:rsid w:val="720F633E"/>
    <w:rsid w:val="72130B93"/>
    <w:rsid w:val="721C688B"/>
    <w:rsid w:val="723749D7"/>
    <w:rsid w:val="724E54F1"/>
    <w:rsid w:val="7254202A"/>
    <w:rsid w:val="727334E4"/>
    <w:rsid w:val="72772DDB"/>
    <w:rsid w:val="727B2E39"/>
    <w:rsid w:val="727B5D49"/>
    <w:rsid w:val="72827328"/>
    <w:rsid w:val="728935F0"/>
    <w:rsid w:val="728B2CA4"/>
    <w:rsid w:val="728B509F"/>
    <w:rsid w:val="728F0A31"/>
    <w:rsid w:val="729A297B"/>
    <w:rsid w:val="72A310CE"/>
    <w:rsid w:val="72B751B8"/>
    <w:rsid w:val="72CE3184"/>
    <w:rsid w:val="72CE7D06"/>
    <w:rsid w:val="72D456A5"/>
    <w:rsid w:val="72E70D52"/>
    <w:rsid w:val="72E727FB"/>
    <w:rsid w:val="72EA6B66"/>
    <w:rsid w:val="72FB32E0"/>
    <w:rsid w:val="7302733B"/>
    <w:rsid w:val="731649D2"/>
    <w:rsid w:val="731C28E7"/>
    <w:rsid w:val="7326097A"/>
    <w:rsid w:val="732A4A9B"/>
    <w:rsid w:val="73301DB2"/>
    <w:rsid w:val="73343997"/>
    <w:rsid w:val="73370B0A"/>
    <w:rsid w:val="733C723A"/>
    <w:rsid w:val="733C7C6A"/>
    <w:rsid w:val="73510529"/>
    <w:rsid w:val="73574996"/>
    <w:rsid w:val="736411CC"/>
    <w:rsid w:val="73690216"/>
    <w:rsid w:val="736A02D8"/>
    <w:rsid w:val="736D66F2"/>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B06962"/>
    <w:rsid w:val="74B32215"/>
    <w:rsid w:val="74BC7516"/>
    <w:rsid w:val="74C46840"/>
    <w:rsid w:val="74D575AA"/>
    <w:rsid w:val="74D60E75"/>
    <w:rsid w:val="74D71DDE"/>
    <w:rsid w:val="74DA7956"/>
    <w:rsid w:val="74E11F86"/>
    <w:rsid w:val="74FB509B"/>
    <w:rsid w:val="74FB6035"/>
    <w:rsid w:val="750934A8"/>
    <w:rsid w:val="750A15E4"/>
    <w:rsid w:val="7526212E"/>
    <w:rsid w:val="752B3381"/>
    <w:rsid w:val="75325694"/>
    <w:rsid w:val="75376E15"/>
    <w:rsid w:val="75457EFF"/>
    <w:rsid w:val="7554481F"/>
    <w:rsid w:val="75594581"/>
    <w:rsid w:val="755A5494"/>
    <w:rsid w:val="75625A16"/>
    <w:rsid w:val="7564200E"/>
    <w:rsid w:val="75663FD1"/>
    <w:rsid w:val="757540E3"/>
    <w:rsid w:val="7583730C"/>
    <w:rsid w:val="759739B3"/>
    <w:rsid w:val="759B02AD"/>
    <w:rsid w:val="759B0C43"/>
    <w:rsid w:val="75A53BC6"/>
    <w:rsid w:val="75C123A7"/>
    <w:rsid w:val="75C16D6D"/>
    <w:rsid w:val="75CD2584"/>
    <w:rsid w:val="75CE6A8B"/>
    <w:rsid w:val="75D357A7"/>
    <w:rsid w:val="75E50FDE"/>
    <w:rsid w:val="75F75D00"/>
    <w:rsid w:val="75F8074C"/>
    <w:rsid w:val="7600209C"/>
    <w:rsid w:val="760049B0"/>
    <w:rsid w:val="760200DC"/>
    <w:rsid w:val="760218FE"/>
    <w:rsid w:val="76070A73"/>
    <w:rsid w:val="76250B12"/>
    <w:rsid w:val="762964DA"/>
    <w:rsid w:val="762D70E7"/>
    <w:rsid w:val="7630359D"/>
    <w:rsid w:val="763B42FB"/>
    <w:rsid w:val="763D4BE9"/>
    <w:rsid w:val="763F1F92"/>
    <w:rsid w:val="76424474"/>
    <w:rsid w:val="76437632"/>
    <w:rsid w:val="76451CD6"/>
    <w:rsid w:val="76452780"/>
    <w:rsid w:val="764F7670"/>
    <w:rsid w:val="765633CE"/>
    <w:rsid w:val="76587361"/>
    <w:rsid w:val="766314AA"/>
    <w:rsid w:val="7665220A"/>
    <w:rsid w:val="76690632"/>
    <w:rsid w:val="767469E2"/>
    <w:rsid w:val="76775F0B"/>
    <w:rsid w:val="767C13C4"/>
    <w:rsid w:val="767E2DAC"/>
    <w:rsid w:val="76894819"/>
    <w:rsid w:val="768D57E3"/>
    <w:rsid w:val="76932317"/>
    <w:rsid w:val="76A56898"/>
    <w:rsid w:val="76B153BA"/>
    <w:rsid w:val="76BE7B18"/>
    <w:rsid w:val="76C72CA0"/>
    <w:rsid w:val="76E82270"/>
    <w:rsid w:val="76ED0EF4"/>
    <w:rsid w:val="76F2295F"/>
    <w:rsid w:val="76F50A9F"/>
    <w:rsid w:val="76FD2D1D"/>
    <w:rsid w:val="77187F65"/>
    <w:rsid w:val="77284F7D"/>
    <w:rsid w:val="7729766A"/>
    <w:rsid w:val="772D35A6"/>
    <w:rsid w:val="773337F1"/>
    <w:rsid w:val="773A62B8"/>
    <w:rsid w:val="77422DC5"/>
    <w:rsid w:val="7743723B"/>
    <w:rsid w:val="774B3934"/>
    <w:rsid w:val="774D47BD"/>
    <w:rsid w:val="77551F00"/>
    <w:rsid w:val="77650E66"/>
    <w:rsid w:val="777B5F51"/>
    <w:rsid w:val="777D53E6"/>
    <w:rsid w:val="777E1FE2"/>
    <w:rsid w:val="77847A56"/>
    <w:rsid w:val="778F0D7D"/>
    <w:rsid w:val="778F49BD"/>
    <w:rsid w:val="77966F4C"/>
    <w:rsid w:val="779D7890"/>
    <w:rsid w:val="77A31525"/>
    <w:rsid w:val="77A75021"/>
    <w:rsid w:val="77B4796D"/>
    <w:rsid w:val="77B8689C"/>
    <w:rsid w:val="77BD5A24"/>
    <w:rsid w:val="77C2510C"/>
    <w:rsid w:val="77C458E3"/>
    <w:rsid w:val="77C833A2"/>
    <w:rsid w:val="77D21E05"/>
    <w:rsid w:val="77F62779"/>
    <w:rsid w:val="77FE78CE"/>
    <w:rsid w:val="78036043"/>
    <w:rsid w:val="7813374F"/>
    <w:rsid w:val="781838FF"/>
    <w:rsid w:val="781B3886"/>
    <w:rsid w:val="78306028"/>
    <w:rsid w:val="78316382"/>
    <w:rsid w:val="78375EBD"/>
    <w:rsid w:val="784151EC"/>
    <w:rsid w:val="78426ABC"/>
    <w:rsid w:val="785E656D"/>
    <w:rsid w:val="787659AD"/>
    <w:rsid w:val="7888219B"/>
    <w:rsid w:val="78887070"/>
    <w:rsid w:val="788908C8"/>
    <w:rsid w:val="78993306"/>
    <w:rsid w:val="78A561F3"/>
    <w:rsid w:val="78B0117B"/>
    <w:rsid w:val="78B91C9F"/>
    <w:rsid w:val="78BC539D"/>
    <w:rsid w:val="78BF2F71"/>
    <w:rsid w:val="78C134B0"/>
    <w:rsid w:val="78CA125D"/>
    <w:rsid w:val="78D97F0E"/>
    <w:rsid w:val="78DA009A"/>
    <w:rsid w:val="78DC2FA9"/>
    <w:rsid w:val="78DD4939"/>
    <w:rsid w:val="78E062D1"/>
    <w:rsid w:val="78F40C87"/>
    <w:rsid w:val="78FC7FC2"/>
    <w:rsid w:val="79042DE3"/>
    <w:rsid w:val="790D4F70"/>
    <w:rsid w:val="791474A8"/>
    <w:rsid w:val="79176206"/>
    <w:rsid w:val="79213934"/>
    <w:rsid w:val="79221399"/>
    <w:rsid w:val="7940572D"/>
    <w:rsid w:val="79461391"/>
    <w:rsid w:val="79473363"/>
    <w:rsid w:val="79474814"/>
    <w:rsid w:val="794B4D74"/>
    <w:rsid w:val="79501475"/>
    <w:rsid w:val="79524043"/>
    <w:rsid w:val="795A5499"/>
    <w:rsid w:val="796E35F2"/>
    <w:rsid w:val="7971290E"/>
    <w:rsid w:val="797951A9"/>
    <w:rsid w:val="7990174F"/>
    <w:rsid w:val="79A15149"/>
    <w:rsid w:val="79A37CCA"/>
    <w:rsid w:val="79BF2784"/>
    <w:rsid w:val="79C0597A"/>
    <w:rsid w:val="79C24EDF"/>
    <w:rsid w:val="79C95AED"/>
    <w:rsid w:val="79D22471"/>
    <w:rsid w:val="79E12ED9"/>
    <w:rsid w:val="79E352FF"/>
    <w:rsid w:val="79E9023D"/>
    <w:rsid w:val="79ED6701"/>
    <w:rsid w:val="79FB2D0B"/>
    <w:rsid w:val="7A052E17"/>
    <w:rsid w:val="7A097B67"/>
    <w:rsid w:val="7A0F1525"/>
    <w:rsid w:val="7A157806"/>
    <w:rsid w:val="7A262C2D"/>
    <w:rsid w:val="7A3919A5"/>
    <w:rsid w:val="7A4D07BA"/>
    <w:rsid w:val="7A5863D3"/>
    <w:rsid w:val="7A5C5FAF"/>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A1B1D"/>
    <w:rsid w:val="7ACD2D7F"/>
    <w:rsid w:val="7AD27B42"/>
    <w:rsid w:val="7AD84E14"/>
    <w:rsid w:val="7B18546A"/>
    <w:rsid w:val="7B1F59AA"/>
    <w:rsid w:val="7B214978"/>
    <w:rsid w:val="7B4A5781"/>
    <w:rsid w:val="7B4E09BF"/>
    <w:rsid w:val="7B552748"/>
    <w:rsid w:val="7B5A1BC7"/>
    <w:rsid w:val="7B603C7C"/>
    <w:rsid w:val="7B65590F"/>
    <w:rsid w:val="7B6E2AB1"/>
    <w:rsid w:val="7B771CED"/>
    <w:rsid w:val="7B841287"/>
    <w:rsid w:val="7B9422CC"/>
    <w:rsid w:val="7BA22D26"/>
    <w:rsid w:val="7BA521BC"/>
    <w:rsid w:val="7BAB7079"/>
    <w:rsid w:val="7BB145C1"/>
    <w:rsid w:val="7BB2241E"/>
    <w:rsid w:val="7BC17EBE"/>
    <w:rsid w:val="7BC43666"/>
    <w:rsid w:val="7BC8293C"/>
    <w:rsid w:val="7BC87053"/>
    <w:rsid w:val="7BDC009C"/>
    <w:rsid w:val="7BDE0174"/>
    <w:rsid w:val="7BDF18E6"/>
    <w:rsid w:val="7BE131F6"/>
    <w:rsid w:val="7BE86B00"/>
    <w:rsid w:val="7BF11348"/>
    <w:rsid w:val="7C206952"/>
    <w:rsid w:val="7C2C1DE3"/>
    <w:rsid w:val="7C2D1C60"/>
    <w:rsid w:val="7C3832F5"/>
    <w:rsid w:val="7C42281E"/>
    <w:rsid w:val="7C58354F"/>
    <w:rsid w:val="7C610C91"/>
    <w:rsid w:val="7C613AEC"/>
    <w:rsid w:val="7C734075"/>
    <w:rsid w:val="7C815D2A"/>
    <w:rsid w:val="7C831756"/>
    <w:rsid w:val="7C982736"/>
    <w:rsid w:val="7CA67728"/>
    <w:rsid w:val="7CB62523"/>
    <w:rsid w:val="7CCA5583"/>
    <w:rsid w:val="7CD5480A"/>
    <w:rsid w:val="7CE146B6"/>
    <w:rsid w:val="7CE70935"/>
    <w:rsid w:val="7CF84A31"/>
    <w:rsid w:val="7CFC44C2"/>
    <w:rsid w:val="7D013B39"/>
    <w:rsid w:val="7D0826CA"/>
    <w:rsid w:val="7D130509"/>
    <w:rsid w:val="7D1946C0"/>
    <w:rsid w:val="7D292A41"/>
    <w:rsid w:val="7D2A5CCB"/>
    <w:rsid w:val="7D401CAA"/>
    <w:rsid w:val="7D4A3817"/>
    <w:rsid w:val="7D4E195B"/>
    <w:rsid w:val="7D515EFA"/>
    <w:rsid w:val="7D601CD9"/>
    <w:rsid w:val="7D64087E"/>
    <w:rsid w:val="7D69117D"/>
    <w:rsid w:val="7D7A555A"/>
    <w:rsid w:val="7D7F5298"/>
    <w:rsid w:val="7D8362BA"/>
    <w:rsid w:val="7DA843EE"/>
    <w:rsid w:val="7DAB10BD"/>
    <w:rsid w:val="7DC63699"/>
    <w:rsid w:val="7DD7657D"/>
    <w:rsid w:val="7DEB2C44"/>
    <w:rsid w:val="7DF464FC"/>
    <w:rsid w:val="7DFE63E1"/>
    <w:rsid w:val="7E006A11"/>
    <w:rsid w:val="7E046781"/>
    <w:rsid w:val="7E1C55F3"/>
    <w:rsid w:val="7E222965"/>
    <w:rsid w:val="7E2E7D3F"/>
    <w:rsid w:val="7E330B2F"/>
    <w:rsid w:val="7E347694"/>
    <w:rsid w:val="7E3B5911"/>
    <w:rsid w:val="7E495416"/>
    <w:rsid w:val="7E497873"/>
    <w:rsid w:val="7E570488"/>
    <w:rsid w:val="7E573082"/>
    <w:rsid w:val="7E67087B"/>
    <w:rsid w:val="7E6932C8"/>
    <w:rsid w:val="7E750E81"/>
    <w:rsid w:val="7E761EFC"/>
    <w:rsid w:val="7E9044A6"/>
    <w:rsid w:val="7E922E52"/>
    <w:rsid w:val="7EA87297"/>
    <w:rsid w:val="7EB56059"/>
    <w:rsid w:val="7EB73383"/>
    <w:rsid w:val="7EBC53EC"/>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2618F3"/>
    <w:rsid w:val="7F314300"/>
    <w:rsid w:val="7F35713F"/>
    <w:rsid w:val="7F3A44DE"/>
    <w:rsid w:val="7F3B01C9"/>
    <w:rsid w:val="7F4A17F6"/>
    <w:rsid w:val="7F6339F7"/>
    <w:rsid w:val="7F8660CD"/>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34"/>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D:\3GPP\3GPP%20RAN\RAN4\TSGR4_81\NR\R4-16xxxx_Calibration%20on%20NR%20coexistence%20study%20for%20WP5D_#81_CATTv2_QC_Huawei_NEC_ZTE.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3GPP\3GPP%20RAN\RAN4\TSGR4_81\NR\R4-16xxxx_Calibration%20on%20NR%20coexistence%20study%20for%20WP5D_#81_CATTv2_QC_Huawei_NEC_ZTE.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722668313773935"/>
          <c:y val="0.0405595098057628"/>
          <c:w val="0.789993823347745"/>
          <c:h val="0.815386007474472"/>
        </c:manualLayout>
      </c:layout>
      <c:scatterChart>
        <c:scatterStyle val="line"/>
        <c:varyColors val="0"/>
        <c:ser>
          <c:idx val="0"/>
          <c:order val="0"/>
          <c:tx>
            <c:strRef>
              <c:f>'[R4-16xxxx_Calibration on NR coexistence study for WP5D_#81_CATTv2_QC_Huawei_NEC_ZTE.xls]Step 4, No.8'!$B$25</c:f>
              <c:strCache>
                <c:ptCount val="1"/>
                <c:pt idx="0">
                  <c:v>CATT</c:v>
                </c:pt>
              </c:strCache>
            </c:strRef>
          </c:tx>
          <c:spPr>
            <a:ln w="25400" cap="rnd" cmpd="sng" algn="ctr">
              <a:solidFill>
                <a:srgbClr val="666699">
                  <a:alpha val="100000"/>
                </a:srgbClr>
              </a:solidFill>
              <a:prstDash val="solid"/>
              <a:round/>
            </a:ln>
          </c:spPr>
          <c:marker>
            <c:symbol val="none"/>
          </c:marker>
          <c:dLbls>
            <c:delete val="1"/>
          </c:dLbls>
          <c:xVal>
            <c:numRef>
              <c:f>'[R4-16xxxx_Calibration on NR coexistence study for WP5D_#81_CATTv2_QC_Huawei_NEC_ZTE.xls]Step 4, No.8'!$B$27:$B$127</c:f>
              <c:numCache>
                <c:formatCode>General</c:formatCode>
                <c:ptCount val="101"/>
                <c:pt idx="0">
                  <c:v>-155.38991</c:v>
                </c:pt>
                <c:pt idx="1">
                  <c:v>-150.278995</c:v>
                </c:pt>
                <c:pt idx="2">
                  <c:v>-144.896042</c:v>
                </c:pt>
                <c:pt idx="3">
                  <c:v>-141.72201</c:v>
                </c:pt>
                <c:pt idx="4">
                  <c:v>-139.987473</c:v>
                </c:pt>
                <c:pt idx="5">
                  <c:v>-136.908331</c:v>
                </c:pt>
                <c:pt idx="6">
                  <c:v>-135.893256</c:v>
                </c:pt>
                <c:pt idx="7">
                  <c:v>-134.207288</c:v>
                </c:pt>
                <c:pt idx="8">
                  <c:v>-132.817834</c:v>
                </c:pt>
                <c:pt idx="9">
                  <c:v>-131.644396</c:v>
                </c:pt>
                <c:pt idx="10">
                  <c:v>-130.783313</c:v>
                </c:pt>
                <c:pt idx="11">
                  <c:v>-129.459728</c:v>
                </c:pt>
                <c:pt idx="12">
                  <c:v>-128.966444</c:v>
                </c:pt>
                <c:pt idx="13">
                  <c:v>-128.658626</c:v>
                </c:pt>
                <c:pt idx="14">
                  <c:v>-127.839439</c:v>
                </c:pt>
                <c:pt idx="15">
                  <c:v>-127.40887</c:v>
                </c:pt>
                <c:pt idx="16">
                  <c:v>-126.372315</c:v>
                </c:pt>
                <c:pt idx="17">
                  <c:v>-125.819518</c:v>
                </c:pt>
                <c:pt idx="18">
                  <c:v>-125.283917</c:v>
                </c:pt>
                <c:pt idx="19">
                  <c:v>-124.254892</c:v>
                </c:pt>
                <c:pt idx="20">
                  <c:v>-123.413487</c:v>
                </c:pt>
                <c:pt idx="21">
                  <c:v>-122.96364</c:v>
                </c:pt>
                <c:pt idx="22">
                  <c:v>-122.562635</c:v>
                </c:pt>
                <c:pt idx="23">
                  <c:v>-122.257403</c:v>
                </c:pt>
                <c:pt idx="24">
                  <c:v>-121.668899</c:v>
                </c:pt>
                <c:pt idx="25">
                  <c:v>-121.155536</c:v>
                </c:pt>
                <c:pt idx="26">
                  <c:v>-120.345265</c:v>
                </c:pt>
                <c:pt idx="27">
                  <c:v>-119.372553</c:v>
                </c:pt>
                <c:pt idx="28">
                  <c:v>-118.508519</c:v>
                </c:pt>
                <c:pt idx="29">
                  <c:v>-118.224049</c:v>
                </c:pt>
                <c:pt idx="30">
                  <c:v>-117.780106</c:v>
                </c:pt>
                <c:pt idx="31">
                  <c:v>-117.306557</c:v>
                </c:pt>
                <c:pt idx="32">
                  <c:v>-117.048997</c:v>
                </c:pt>
                <c:pt idx="33">
                  <c:v>-116.581276</c:v>
                </c:pt>
                <c:pt idx="34">
                  <c:v>-116.126499</c:v>
                </c:pt>
                <c:pt idx="35">
                  <c:v>-115.588707</c:v>
                </c:pt>
                <c:pt idx="36">
                  <c:v>-114.981873</c:v>
                </c:pt>
                <c:pt idx="37">
                  <c:v>-114.388786</c:v>
                </c:pt>
                <c:pt idx="38">
                  <c:v>-113.864875</c:v>
                </c:pt>
                <c:pt idx="39">
                  <c:v>-113.19321</c:v>
                </c:pt>
                <c:pt idx="40">
                  <c:v>-112.751855</c:v>
                </c:pt>
                <c:pt idx="41">
                  <c:v>-112.194053</c:v>
                </c:pt>
                <c:pt idx="42">
                  <c:v>-111.889727</c:v>
                </c:pt>
                <c:pt idx="43">
                  <c:v>-111.050665</c:v>
                </c:pt>
                <c:pt idx="44">
                  <c:v>-110.55352</c:v>
                </c:pt>
                <c:pt idx="45">
                  <c:v>-110.103062</c:v>
                </c:pt>
                <c:pt idx="46">
                  <c:v>-109.121641</c:v>
                </c:pt>
                <c:pt idx="47">
                  <c:v>-108.430781</c:v>
                </c:pt>
                <c:pt idx="48">
                  <c:v>-107.931429</c:v>
                </c:pt>
                <c:pt idx="49">
                  <c:v>-107.678991</c:v>
                </c:pt>
                <c:pt idx="50">
                  <c:v>-107.205107</c:v>
                </c:pt>
                <c:pt idx="51">
                  <c:v>-106.611766</c:v>
                </c:pt>
                <c:pt idx="52">
                  <c:v>-105.739527</c:v>
                </c:pt>
                <c:pt idx="53">
                  <c:v>-105.358633</c:v>
                </c:pt>
                <c:pt idx="54">
                  <c:v>-104.654986</c:v>
                </c:pt>
                <c:pt idx="55">
                  <c:v>-104.349136</c:v>
                </c:pt>
                <c:pt idx="56">
                  <c:v>-103.932695</c:v>
                </c:pt>
                <c:pt idx="57">
                  <c:v>-103.608112</c:v>
                </c:pt>
                <c:pt idx="58">
                  <c:v>-103.161416</c:v>
                </c:pt>
                <c:pt idx="59">
                  <c:v>-102.672984</c:v>
                </c:pt>
                <c:pt idx="60">
                  <c:v>-101.917548</c:v>
                </c:pt>
                <c:pt idx="61">
                  <c:v>-101.186625</c:v>
                </c:pt>
                <c:pt idx="62">
                  <c:v>-100.547318</c:v>
                </c:pt>
                <c:pt idx="63">
                  <c:v>-99.971278</c:v>
                </c:pt>
                <c:pt idx="64">
                  <c:v>-99.114097</c:v>
                </c:pt>
                <c:pt idx="65">
                  <c:v>-98.022243</c:v>
                </c:pt>
                <c:pt idx="66">
                  <c:v>-97.740155</c:v>
                </c:pt>
                <c:pt idx="67">
                  <c:v>-97.133644</c:v>
                </c:pt>
                <c:pt idx="68">
                  <c:v>-96.513532</c:v>
                </c:pt>
                <c:pt idx="69">
                  <c:v>-95.981189</c:v>
                </c:pt>
                <c:pt idx="70">
                  <c:v>-95.551103</c:v>
                </c:pt>
                <c:pt idx="71">
                  <c:v>-95.302043</c:v>
                </c:pt>
                <c:pt idx="72">
                  <c:v>-94.27621</c:v>
                </c:pt>
                <c:pt idx="73">
                  <c:v>-93.911512</c:v>
                </c:pt>
                <c:pt idx="74">
                  <c:v>-92.955298</c:v>
                </c:pt>
                <c:pt idx="75">
                  <c:v>-91.888083</c:v>
                </c:pt>
                <c:pt idx="76">
                  <c:v>-91.26149</c:v>
                </c:pt>
                <c:pt idx="77">
                  <c:v>-90.400709</c:v>
                </c:pt>
                <c:pt idx="78">
                  <c:v>-89.869651</c:v>
                </c:pt>
                <c:pt idx="79">
                  <c:v>-88.897096</c:v>
                </c:pt>
                <c:pt idx="80">
                  <c:v>-88.303311</c:v>
                </c:pt>
                <c:pt idx="81">
                  <c:v>-86.70478</c:v>
                </c:pt>
                <c:pt idx="82">
                  <c:v>-86.101804</c:v>
                </c:pt>
                <c:pt idx="83">
                  <c:v>-85.126332</c:v>
                </c:pt>
                <c:pt idx="84">
                  <c:v>-84.57238</c:v>
                </c:pt>
                <c:pt idx="85">
                  <c:v>-83.572965</c:v>
                </c:pt>
                <c:pt idx="86">
                  <c:v>-82.864135</c:v>
                </c:pt>
                <c:pt idx="87">
                  <c:v>-81.206451</c:v>
                </c:pt>
                <c:pt idx="88">
                  <c:v>-80.283451</c:v>
                </c:pt>
                <c:pt idx="89">
                  <c:v>-79.438884</c:v>
                </c:pt>
                <c:pt idx="90">
                  <c:v>-79.01376</c:v>
                </c:pt>
                <c:pt idx="91">
                  <c:v>-78.363619</c:v>
                </c:pt>
                <c:pt idx="92">
                  <c:v>-77.846024</c:v>
                </c:pt>
                <c:pt idx="93">
                  <c:v>-75.937342</c:v>
                </c:pt>
                <c:pt idx="94">
                  <c:v>-74.507527</c:v>
                </c:pt>
                <c:pt idx="95">
                  <c:v>-73.595696</c:v>
                </c:pt>
                <c:pt idx="96">
                  <c:v>-72.840977</c:v>
                </c:pt>
                <c:pt idx="97">
                  <c:v>-70.70723</c:v>
                </c:pt>
                <c:pt idx="98">
                  <c:v>-66.714148</c:v>
                </c:pt>
                <c:pt idx="99">
                  <c:v>-63.936271</c:v>
                </c:pt>
                <c:pt idx="100">
                  <c:v>-46.873011</c:v>
                </c:pt>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
          <c:order val="1"/>
          <c:tx>
            <c:strRef>
              <c:f>'[R4-16xxxx_Calibration on NR coexistence study for WP5D_#81_CATTv2_QC_Huawei_NEC_ZTE.xls]Step 4, No.8'!$C$25</c:f>
              <c:strCache>
                <c:ptCount val="1"/>
                <c:pt idx="0">
                  <c:v>ZTE</c:v>
                </c:pt>
              </c:strCache>
            </c:strRef>
          </c:tx>
          <c:spPr>
            <a:ln w="25400" cap="rnd" cmpd="sng" algn="ctr">
              <a:solidFill>
                <a:srgbClr val="993366">
                  <a:alpha val="100000"/>
                </a:srgbClr>
              </a:solidFill>
              <a:prstDash val="solid"/>
              <a:round/>
            </a:ln>
          </c:spPr>
          <c:marker>
            <c:symbol val="none"/>
          </c:marker>
          <c:dLbls>
            <c:delete val="1"/>
          </c:dLbls>
          <c:xVal>
            <c:numRef>
              <c:f>'[R4-16xxxx_Calibration on NR coexistence study for WP5D_#81_CATTv2_QC_Huawei_NEC_ZTE.xls]Step 4, No.8'!$C$27:$C$127</c:f>
              <c:numCache>
                <c:formatCode>General</c:formatCode>
                <c:ptCount val="101"/>
                <c:pt idx="0">
                  <c:v>-161.219825172281</c:v>
                </c:pt>
                <c:pt idx="1">
                  <c:v>-153.255052462569</c:v>
                </c:pt>
                <c:pt idx="2">
                  <c:v>-149.871442013295</c:v>
                </c:pt>
                <c:pt idx="3">
                  <c:v>-146.90116602233</c:v>
                </c:pt>
                <c:pt idx="4">
                  <c:v>-144.733870687293</c:v>
                </c:pt>
                <c:pt idx="5">
                  <c:v>-143.255746781402</c:v>
                </c:pt>
                <c:pt idx="6">
                  <c:v>-141.823717583739</c:v>
                </c:pt>
                <c:pt idx="7">
                  <c:v>-140.102163168414</c:v>
                </c:pt>
                <c:pt idx="8">
                  <c:v>-139.320262590089</c:v>
                </c:pt>
                <c:pt idx="9">
                  <c:v>-137.744581379675</c:v>
                </c:pt>
                <c:pt idx="10">
                  <c:v>-136.810610689411</c:v>
                </c:pt>
                <c:pt idx="11">
                  <c:v>-136.289831452844</c:v>
                </c:pt>
                <c:pt idx="12">
                  <c:v>-135.440605262102</c:v>
                </c:pt>
                <c:pt idx="13">
                  <c:v>-134.534843841138</c:v>
                </c:pt>
                <c:pt idx="14">
                  <c:v>-133.740717799386</c:v>
                </c:pt>
                <c:pt idx="15">
                  <c:v>-133.026603444175</c:v>
                </c:pt>
                <c:pt idx="16">
                  <c:v>-132.313812823641</c:v>
                </c:pt>
                <c:pt idx="17">
                  <c:v>-131.525660833635</c:v>
                </c:pt>
                <c:pt idx="18">
                  <c:v>-131.145494679096</c:v>
                </c:pt>
                <c:pt idx="19">
                  <c:v>-130.394772960314</c:v>
                </c:pt>
                <c:pt idx="20">
                  <c:v>-129.847748065528</c:v>
                </c:pt>
                <c:pt idx="21">
                  <c:v>-129.296055692823</c:v>
                </c:pt>
                <c:pt idx="22">
                  <c:v>-128.5349821722</c:v>
                </c:pt>
                <c:pt idx="23">
                  <c:v>-127.737412744646</c:v>
                </c:pt>
                <c:pt idx="24">
                  <c:v>-127.146366476156</c:v>
                </c:pt>
                <c:pt idx="25">
                  <c:v>-126.631630759247</c:v>
                </c:pt>
                <c:pt idx="26">
                  <c:v>-126.119779934347</c:v>
                </c:pt>
                <c:pt idx="27">
                  <c:v>-125.673390813255</c:v>
                </c:pt>
                <c:pt idx="28">
                  <c:v>-124.949395343057</c:v>
                </c:pt>
                <c:pt idx="29">
                  <c:v>-124.516383485341</c:v>
                </c:pt>
                <c:pt idx="30">
                  <c:v>-123.759605741763</c:v>
                </c:pt>
                <c:pt idx="31">
                  <c:v>-123.256492939777</c:v>
                </c:pt>
                <c:pt idx="32">
                  <c:v>-122.627455206524</c:v>
                </c:pt>
                <c:pt idx="33">
                  <c:v>-122.240321450003</c:v>
                </c:pt>
                <c:pt idx="34">
                  <c:v>-121.643947270147</c:v>
                </c:pt>
                <c:pt idx="35">
                  <c:v>-121.188919458954</c:v>
                </c:pt>
                <c:pt idx="36">
                  <c:v>-120.803516906698</c:v>
                </c:pt>
                <c:pt idx="37">
                  <c:v>-120.191732837332</c:v>
                </c:pt>
                <c:pt idx="38">
                  <c:v>-119.741744741235</c:v>
                </c:pt>
                <c:pt idx="39">
                  <c:v>-119.166469480464</c:v>
                </c:pt>
                <c:pt idx="40">
                  <c:v>-118.635829984574</c:v>
                </c:pt>
                <c:pt idx="41">
                  <c:v>-118.159861428636</c:v>
                </c:pt>
                <c:pt idx="42">
                  <c:v>-117.750862384656</c:v>
                </c:pt>
                <c:pt idx="43">
                  <c:v>-117.32450645836</c:v>
                </c:pt>
                <c:pt idx="44">
                  <c:v>-116.68335067476</c:v>
                </c:pt>
                <c:pt idx="45">
                  <c:v>-116.123358897324</c:v>
                </c:pt>
                <c:pt idx="46">
                  <c:v>-115.59704148562</c:v>
                </c:pt>
                <c:pt idx="47">
                  <c:v>-115.121240696563</c:v>
                </c:pt>
                <c:pt idx="48">
                  <c:v>-114.654855157792</c:v>
                </c:pt>
                <c:pt idx="49">
                  <c:v>-114.144402194905</c:v>
                </c:pt>
                <c:pt idx="50">
                  <c:v>-113.592410584013</c:v>
                </c:pt>
                <c:pt idx="51">
                  <c:v>-113.061573292385</c:v>
                </c:pt>
                <c:pt idx="52">
                  <c:v>-112.621528764302</c:v>
                </c:pt>
                <c:pt idx="53">
                  <c:v>-112.150115291717</c:v>
                </c:pt>
                <c:pt idx="54">
                  <c:v>-111.641528336771</c:v>
                </c:pt>
                <c:pt idx="55">
                  <c:v>-111.127176538722</c:v>
                </c:pt>
                <c:pt idx="56">
                  <c:v>-110.538238892853</c:v>
                </c:pt>
                <c:pt idx="57">
                  <c:v>-109.982051091557</c:v>
                </c:pt>
                <c:pt idx="58">
                  <c:v>-109.576454496408</c:v>
                </c:pt>
                <c:pt idx="59">
                  <c:v>-108.987889897459</c:v>
                </c:pt>
                <c:pt idx="60">
                  <c:v>-108.526479605403</c:v>
                </c:pt>
                <c:pt idx="61">
                  <c:v>-107.982516845575</c:v>
                </c:pt>
                <c:pt idx="62">
                  <c:v>-107.468394188886</c:v>
                </c:pt>
                <c:pt idx="63">
                  <c:v>-106.910698441405</c:v>
                </c:pt>
                <c:pt idx="64">
                  <c:v>-106.340645642221</c:v>
                </c:pt>
                <c:pt idx="65">
                  <c:v>-105.931810763523</c:v>
                </c:pt>
                <c:pt idx="66">
                  <c:v>-105.462873846726</c:v>
                </c:pt>
                <c:pt idx="67">
                  <c:v>-104.760558163274</c:v>
                </c:pt>
                <c:pt idx="68">
                  <c:v>-104.142813011589</c:v>
                </c:pt>
                <c:pt idx="69">
                  <c:v>-103.657388225219</c:v>
                </c:pt>
                <c:pt idx="70">
                  <c:v>-102.863463830625</c:v>
                </c:pt>
                <c:pt idx="71">
                  <c:v>-102.307239059709</c:v>
                </c:pt>
                <c:pt idx="72">
                  <c:v>-101.630704535982</c:v>
                </c:pt>
                <c:pt idx="73">
                  <c:v>-100.701659870251</c:v>
                </c:pt>
                <c:pt idx="74">
                  <c:v>-99.8047469854037</c:v>
                </c:pt>
                <c:pt idx="75">
                  <c:v>-99.1321743652759</c:v>
                </c:pt>
                <c:pt idx="76">
                  <c:v>-98.5830561641716</c:v>
                </c:pt>
                <c:pt idx="77">
                  <c:v>-97.7936803693928</c:v>
                </c:pt>
                <c:pt idx="78">
                  <c:v>-97.2872247152187</c:v>
                </c:pt>
                <c:pt idx="79">
                  <c:v>-96.7659937005293</c:v>
                </c:pt>
                <c:pt idx="80">
                  <c:v>-95.8694613304705</c:v>
                </c:pt>
                <c:pt idx="81">
                  <c:v>-95.1795422606018</c:v>
                </c:pt>
                <c:pt idx="82">
                  <c:v>-94.3247249384394</c:v>
                </c:pt>
                <c:pt idx="83">
                  <c:v>-93.7194118310349</c:v>
                </c:pt>
                <c:pt idx="84">
                  <c:v>-92.9581809974631</c:v>
                </c:pt>
                <c:pt idx="85">
                  <c:v>-92.1280471354459</c:v>
                </c:pt>
                <c:pt idx="86">
                  <c:v>-91.3625579822407</c:v>
                </c:pt>
                <c:pt idx="87">
                  <c:v>-90.798303274288</c:v>
                </c:pt>
                <c:pt idx="88">
                  <c:v>-89.8611933912331</c:v>
                </c:pt>
                <c:pt idx="89">
                  <c:v>-88.8961352658674</c:v>
                </c:pt>
                <c:pt idx="90">
                  <c:v>-87.9739337601595</c:v>
                </c:pt>
                <c:pt idx="91">
                  <c:v>-87.060524088936</c:v>
                </c:pt>
                <c:pt idx="92">
                  <c:v>-85.3986967005544</c:v>
                </c:pt>
                <c:pt idx="93">
                  <c:v>-84.3777227288595</c:v>
                </c:pt>
                <c:pt idx="94">
                  <c:v>-83.3194512739116</c:v>
                </c:pt>
                <c:pt idx="95">
                  <c:v>-81.814006500222</c:v>
                </c:pt>
                <c:pt idx="96">
                  <c:v>-79.8222152120232</c:v>
                </c:pt>
                <c:pt idx="97">
                  <c:v>-78.2409082358596</c:v>
                </c:pt>
                <c:pt idx="98">
                  <c:v>-76.3198556348312</c:v>
                </c:pt>
                <c:pt idx="99">
                  <c:v>-70.7443205932986</c:v>
                </c:pt>
                <c:pt idx="100">
                  <c:v>-57.094544894287</c:v>
                </c:pt>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
          <c:order val="2"/>
          <c:tx>
            <c:strRef>
              <c:f>'[R4-16xxxx_Calibration on NR coexistence study for WP5D_#81_CATTv2_QC_Huawei_NEC_ZTE.xls]Step 4, No.8'!$D$25</c:f>
              <c:strCache>
                <c:ptCount val="1"/>
                <c:pt idx="0">
                  <c:v>NEC</c:v>
                </c:pt>
              </c:strCache>
            </c:strRef>
          </c:tx>
          <c:spPr>
            <a:ln w="25400" cap="rnd" cmpd="sng" algn="ctr">
              <a:solidFill>
                <a:srgbClr val="808000">
                  <a:alpha val="100000"/>
                </a:srgbClr>
              </a:solidFill>
              <a:prstDash val="solid"/>
              <a:round/>
            </a:ln>
          </c:spPr>
          <c:marker>
            <c:symbol val="none"/>
          </c:marker>
          <c:dLbls>
            <c:delete val="1"/>
          </c:dLbls>
          <c:xVal>
            <c:numRef>
              <c:f>'[R4-16xxxx_Calibration on NR coexistence study for WP5D_#81_CATTv2_QC_Huawei_NEC_ZTE.xls]Step 4, No.8'!$D$27:$D$127</c:f>
              <c:numCache>
                <c:formatCode>General</c:formatCode>
                <c:ptCount val="101"/>
                <c:pt idx="0">
                  <c:v>-167.0554</c:v>
                </c:pt>
                <c:pt idx="1">
                  <c:v>-144.2649</c:v>
                </c:pt>
                <c:pt idx="2">
                  <c:v>-140.578</c:v>
                </c:pt>
                <c:pt idx="3">
                  <c:v>-138.1959</c:v>
                </c:pt>
                <c:pt idx="4">
                  <c:v>-136.4175</c:v>
                </c:pt>
                <c:pt idx="5">
                  <c:v>-134.9017</c:v>
                </c:pt>
                <c:pt idx="6">
                  <c:v>-133.6421</c:v>
                </c:pt>
                <c:pt idx="7">
                  <c:v>-132.5092</c:v>
                </c:pt>
                <c:pt idx="8">
                  <c:v>-131.4749</c:v>
                </c:pt>
                <c:pt idx="9">
                  <c:v>-130.5576</c:v>
                </c:pt>
                <c:pt idx="10">
                  <c:v>-129.631</c:v>
                </c:pt>
                <c:pt idx="11">
                  <c:v>-128.7344</c:v>
                </c:pt>
                <c:pt idx="12">
                  <c:v>-127.7726</c:v>
                </c:pt>
                <c:pt idx="13">
                  <c:v>-126.9166</c:v>
                </c:pt>
                <c:pt idx="14">
                  <c:v>-126.1234</c:v>
                </c:pt>
                <c:pt idx="15">
                  <c:v>-125.318</c:v>
                </c:pt>
                <c:pt idx="16">
                  <c:v>-124.5577</c:v>
                </c:pt>
                <c:pt idx="17">
                  <c:v>-123.8047</c:v>
                </c:pt>
                <c:pt idx="18">
                  <c:v>-123.1346</c:v>
                </c:pt>
                <c:pt idx="19">
                  <c:v>-122.4691</c:v>
                </c:pt>
                <c:pt idx="20">
                  <c:v>-121.7756</c:v>
                </c:pt>
                <c:pt idx="21">
                  <c:v>-121.0223</c:v>
                </c:pt>
                <c:pt idx="22">
                  <c:v>-120.3605</c:v>
                </c:pt>
                <c:pt idx="23">
                  <c:v>-119.7205</c:v>
                </c:pt>
                <c:pt idx="24">
                  <c:v>-119.1112</c:v>
                </c:pt>
                <c:pt idx="25">
                  <c:v>-118.5</c:v>
                </c:pt>
                <c:pt idx="26">
                  <c:v>-117.8812</c:v>
                </c:pt>
                <c:pt idx="27">
                  <c:v>-117.2996</c:v>
                </c:pt>
                <c:pt idx="28">
                  <c:v>-116.7431</c:v>
                </c:pt>
                <c:pt idx="29">
                  <c:v>-116.1315</c:v>
                </c:pt>
                <c:pt idx="30">
                  <c:v>-115.5958</c:v>
                </c:pt>
                <c:pt idx="31">
                  <c:v>-115.034</c:v>
                </c:pt>
                <c:pt idx="32">
                  <c:v>-114.5392</c:v>
                </c:pt>
                <c:pt idx="33">
                  <c:v>-113.9785</c:v>
                </c:pt>
                <c:pt idx="34">
                  <c:v>-113.4102</c:v>
                </c:pt>
                <c:pt idx="35">
                  <c:v>-112.8984</c:v>
                </c:pt>
                <c:pt idx="36">
                  <c:v>-112.361</c:v>
                </c:pt>
                <c:pt idx="37">
                  <c:v>-111.8581</c:v>
                </c:pt>
                <c:pt idx="38">
                  <c:v>-111.3068</c:v>
                </c:pt>
                <c:pt idx="39">
                  <c:v>-110.7743</c:v>
                </c:pt>
                <c:pt idx="40">
                  <c:v>-110.2591</c:v>
                </c:pt>
                <c:pt idx="41">
                  <c:v>-109.6577</c:v>
                </c:pt>
                <c:pt idx="42">
                  <c:v>-109.1149</c:v>
                </c:pt>
                <c:pt idx="43">
                  <c:v>-108.5765</c:v>
                </c:pt>
                <c:pt idx="44">
                  <c:v>-108.0546</c:v>
                </c:pt>
                <c:pt idx="45">
                  <c:v>-107.4925</c:v>
                </c:pt>
                <c:pt idx="46">
                  <c:v>-106.8957</c:v>
                </c:pt>
                <c:pt idx="47">
                  <c:v>-106.3837</c:v>
                </c:pt>
                <c:pt idx="48">
                  <c:v>-105.7831</c:v>
                </c:pt>
                <c:pt idx="49">
                  <c:v>-105.2893</c:v>
                </c:pt>
                <c:pt idx="50">
                  <c:v>-104.7642</c:v>
                </c:pt>
                <c:pt idx="51">
                  <c:v>-104.1949</c:v>
                </c:pt>
                <c:pt idx="52">
                  <c:v>-103.6119</c:v>
                </c:pt>
                <c:pt idx="53">
                  <c:v>-102.9976</c:v>
                </c:pt>
                <c:pt idx="54">
                  <c:v>-102.5192</c:v>
                </c:pt>
                <c:pt idx="55">
                  <c:v>-101.9639</c:v>
                </c:pt>
                <c:pt idx="56">
                  <c:v>-101.4379</c:v>
                </c:pt>
                <c:pt idx="57">
                  <c:v>-100.8215</c:v>
                </c:pt>
                <c:pt idx="58">
                  <c:v>-100.3172</c:v>
                </c:pt>
                <c:pt idx="59">
                  <c:v>-99.8323</c:v>
                </c:pt>
                <c:pt idx="60">
                  <c:v>-99.349</c:v>
                </c:pt>
                <c:pt idx="61">
                  <c:v>-98.7973</c:v>
                </c:pt>
                <c:pt idx="62">
                  <c:v>-98.2422</c:v>
                </c:pt>
                <c:pt idx="63">
                  <c:v>-97.7089</c:v>
                </c:pt>
                <c:pt idx="64">
                  <c:v>-97.2159</c:v>
                </c:pt>
                <c:pt idx="65">
                  <c:v>-96.6898</c:v>
                </c:pt>
                <c:pt idx="66">
                  <c:v>-96.2172</c:v>
                </c:pt>
                <c:pt idx="67">
                  <c:v>-95.6579</c:v>
                </c:pt>
                <c:pt idx="68">
                  <c:v>-95.1565</c:v>
                </c:pt>
                <c:pt idx="69">
                  <c:v>-94.6094</c:v>
                </c:pt>
                <c:pt idx="70">
                  <c:v>-94.0596</c:v>
                </c:pt>
                <c:pt idx="71">
                  <c:v>-93.5418</c:v>
                </c:pt>
                <c:pt idx="72">
                  <c:v>-93.0179</c:v>
                </c:pt>
                <c:pt idx="73">
                  <c:v>-92.4107</c:v>
                </c:pt>
                <c:pt idx="74">
                  <c:v>-91.8893</c:v>
                </c:pt>
                <c:pt idx="75">
                  <c:v>-91.3119</c:v>
                </c:pt>
                <c:pt idx="76">
                  <c:v>-90.7655</c:v>
                </c:pt>
                <c:pt idx="77">
                  <c:v>-90.0906</c:v>
                </c:pt>
                <c:pt idx="78">
                  <c:v>-89.4637</c:v>
                </c:pt>
                <c:pt idx="79">
                  <c:v>-88.6705</c:v>
                </c:pt>
                <c:pt idx="80">
                  <c:v>-87.9694</c:v>
                </c:pt>
                <c:pt idx="81">
                  <c:v>-87.1993</c:v>
                </c:pt>
                <c:pt idx="82">
                  <c:v>-86.3351</c:v>
                </c:pt>
                <c:pt idx="83">
                  <c:v>-85.419</c:v>
                </c:pt>
                <c:pt idx="84">
                  <c:v>-84.5984</c:v>
                </c:pt>
                <c:pt idx="85">
                  <c:v>-83.7117</c:v>
                </c:pt>
                <c:pt idx="86">
                  <c:v>-82.643</c:v>
                </c:pt>
                <c:pt idx="87">
                  <c:v>-81.6128</c:v>
                </c:pt>
                <c:pt idx="88">
                  <c:v>-80.5823</c:v>
                </c:pt>
                <c:pt idx="89">
                  <c:v>-79.5838</c:v>
                </c:pt>
                <c:pt idx="90">
                  <c:v>-78.5822</c:v>
                </c:pt>
                <c:pt idx="91">
                  <c:v>-77.4343</c:v>
                </c:pt>
                <c:pt idx="92">
                  <c:v>-76.3414</c:v>
                </c:pt>
                <c:pt idx="93">
                  <c:v>-74.8881</c:v>
                </c:pt>
                <c:pt idx="94">
                  <c:v>-73.4899</c:v>
                </c:pt>
                <c:pt idx="95">
                  <c:v>-71.8235</c:v>
                </c:pt>
                <c:pt idx="96">
                  <c:v>-69.8005</c:v>
                </c:pt>
                <c:pt idx="97">
                  <c:v>-67.4006</c:v>
                </c:pt>
                <c:pt idx="98">
                  <c:v>-64.7771</c:v>
                </c:pt>
                <c:pt idx="99">
                  <c:v>-61.1566</c:v>
                </c:pt>
                <c:pt idx="100">
                  <c:v>-53.2332</c:v>
                </c:pt>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3"/>
          <c:order val="3"/>
          <c:tx>
            <c:strRef>
              <c:f>'[R4-16xxxx_Calibration on NR coexistence study for WP5D_#81_CATTv2_QC_Huawei_NEC_ZTE.xls]Step 4, No.8'!$E$25</c:f>
              <c:strCache>
                <c:ptCount val="1"/>
                <c:pt idx="0">
                  <c:v>Huawei</c:v>
                </c:pt>
              </c:strCache>
            </c:strRef>
          </c:tx>
          <c:spPr>
            <a:ln w="25400" cap="rnd" cmpd="sng" algn="ctr">
              <a:solidFill>
                <a:srgbClr val="666699">
                  <a:alpha val="100000"/>
                </a:srgbClr>
              </a:solidFill>
              <a:prstDash val="solid"/>
              <a:round/>
            </a:ln>
          </c:spPr>
          <c:marker>
            <c:symbol val="none"/>
          </c:marker>
          <c:dLbls>
            <c:delete val="1"/>
          </c:dLbls>
          <c:xVal>
            <c:numRef>
              <c:f>'[R4-16xxxx_Calibration on NR coexistence study for WP5D_#81_CATTv2_QC_Huawei_NEC_ZTE.xls]Step 4, No.8'!$E$27:$E$127</c:f>
              <c:numCache>
                <c:formatCode>General</c:formatCode>
                <c:ptCount val="101"/>
                <c:pt idx="0">
                  <c:v>-153.72864</c:v>
                </c:pt>
                <c:pt idx="1">
                  <c:v>-146.162525</c:v>
                </c:pt>
                <c:pt idx="2">
                  <c:v>-142.485339</c:v>
                </c:pt>
                <c:pt idx="3">
                  <c:v>-140.044501</c:v>
                </c:pt>
                <c:pt idx="4">
                  <c:v>-138.44491</c:v>
                </c:pt>
                <c:pt idx="5">
                  <c:v>-137.108309</c:v>
                </c:pt>
                <c:pt idx="6">
                  <c:v>-136.111729</c:v>
                </c:pt>
                <c:pt idx="7">
                  <c:v>-134.479808</c:v>
                </c:pt>
                <c:pt idx="8">
                  <c:v>-133.491248</c:v>
                </c:pt>
                <c:pt idx="9">
                  <c:v>-132.243407</c:v>
                </c:pt>
                <c:pt idx="10">
                  <c:v>-131.214384</c:v>
                </c:pt>
                <c:pt idx="11">
                  <c:v>-130.069881</c:v>
                </c:pt>
                <c:pt idx="12">
                  <c:v>-129.321542</c:v>
                </c:pt>
                <c:pt idx="13">
                  <c:v>-128.468778</c:v>
                </c:pt>
                <c:pt idx="14">
                  <c:v>-127.648454</c:v>
                </c:pt>
                <c:pt idx="15">
                  <c:v>-127.029608</c:v>
                </c:pt>
                <c:pt idx="16">
                  <c:v>-126.374593</c:v>
                </c:pt>
                <c:pt idx="17">
                  <c:v>-125.759142</c:v>
                </c:pt>
                <c:pt idx="18">
                  <c:v>-125.145317</c:v>
                </c:pt>
                <c:pt idx="19">
                  <c:v>-124.464665</c:v>
                </c:pt>
                <c:pt idx="20">
                  <c:v>-123.799783</c:v>
                </c:pt>
                <c:pt idx="21">
                  <c:v>-122.897379</c:v>
                </c:pt>
                <c:pt idx="22">
                  <c:v>-122.52012</c:v>
                </c:pt>
                <c:pt idx="23">
                  <c:v>-121.778673</c:v>
                </c:pt>
                <c:pt idx="24">
                  <c:v>-121.184185</c:v>
                </c:pt>
                <c:pt idx="25">
                  <c:v>-120.460352</c:v>
                </c:pt>
                <c:pt idx="26">
                  <c:v>-119.81369</c:v>
                </c:pt>
                <c:pt idx="27">
                  <c:v>-119.30514</c:v>
                </c:pt>
                <c:pt idx="28">
                  <c:v>-118.707442</c:v>
                </c:pt>
                <c:pt idx="29">
                  <c:v>-118.087207</c:v>
                </c:pt>
                <c:pt idx="30">
                  <c:v>-117.348602</c:v>
                </c:pt>
                <c:pt idx="31">
                  <c:v>-116.665403</c:v>
                </c:pt>
                <c:pt idx="32">
                  <c:v>-116.05153</c:v>
                </c:pt>
                <c:pt idx="33">
                  <c:v>-115.385744</c:v>
                </c:pt>
                <c:pt idx="34">
                  <c:v>-114.925102</c:v>
                </c:pt>
                <c:pt idx="35">
                  <c:v>-114.415154</c:v>
                </c:pt>
                <c:pt idx="36">
                  <c:v>-113.902559</c:v>
                </c:pt>
                <c:pt idx="37">
                  <c:v>-113.300252</c:v>
                </c:pt>
                <c:pt idx="38">
                  <c:v>-112.799916</c:v>
                </c:pt>
                <c:pt idx="39">
                  <c:v>-112.231292</c:v>
                </c:pt>
                <c:pt idx="40">
                  <c:v>-111.727253</c:v>
                </c:pt>
                <c:pt idx="41">
                  <c:v>-111.113143</c:v>
                </c:pt>
                <c:pt idx="42">
                  <c:v>-110.679908</c:v>
                </c:pt>
                <c:pt idx="43">
                  <c:v>-110.182537</c:v>
                </c:pt>
                <c:pt idx="44">
                  <c:v>-109.669074</c:v>
                </c:pt>
                <c:pt idx="45">
                  <c:v>-108.999346</c:v>
                </c:pt>
                <c:pt idx="46">
                  <c:v>-108.463611</c:v>
                </c:pt>
                <c:pt idx="47">
                  <c:v>-107.67267</c:v>
                </c:pt>
                <c:pt idx="48">
                  <c:v>-107.312888</c:v>
                </c:pt>
                <c:pt idx="49">
                  <c:v>-106.758795</c:v>
                </c:pt>
                <c:pt idx="50">
                  <c:v>-106.038835</c:v>
                </c:pt>
                <c:pt idx="51">
                  <c:v>-105.51004</c:v>
                </c:pt>
                <c:pt idx="52">
                  <c:v>-104.69349</c:v>
                </c:pt>
                <c:pt idx="53">
                  <c:v>-104.110527</c:v>
                </c:pt>
                <c:pt idx="54">
                  <c:v>-103.632102</c:v>
                </c:pt>
                <c:pt idx="55">
                  <c:v>-103.278477</c:v>
                </c:pt>
                <c:pt idx="56">
                  <c:v>-102.871755</c:v>
                </c:pt>
                <c:pt idx="57">
                  <c:v>-102.418538</c:v>
                </c:pt>
                <c:pt idx="58">
                  <c:v>-101.841305</c:v>
                </c:pt>
                <c:pt idx="59">
                  <c:v>-101.248076</c:v>
                </c:pt>
                <c:pt idx="60">
                  <c:v>-100.695598</c:v>
                </c:pt>
                <c:pt idx="61">
                  <c:v>-100.139382</c:v>
                </c:pt>
                <c:pt idx="62">
                  <c:v>-99.449122</c:v>
                </c:pt>
                <c:pt idx="63">
                  <c:v>-99.040867</c:v>
                </c:pt>
                <c:pt idx="64">
                  <c:v>-98.416644</c:v>
                </c:pt>
                <c:pt idx="65">
                  <c:v>-97.867531</c:v>
                </c:pt>
                <c:pt idx="66">
                  <c:v>-97.142572</c:v>
                </c:pt>
                <c:pt idx="67">
                  <c:v>-96.756406</c:v>
                </c:pt>
                <c:pt idx="68">
                  <c:v>-96.237198</c:v>
                </c:pt>
                <c:pt idx="69">
                  <c:v>-95.729821</c:v>
                </c:pt>
                <c:pt idx="70">
                  <c:v>-95.186042</c:v>
                </c:pt>
                <c:pt idx="71">
                  <c:v>-94.578071</c:v>
                </c:pt>
                <c:pt idx="72">
                  <c:v>-93.923244</c:v>
                </c:pt>
                <c:pt idx="73">
                  <c:v>-93.306954</c:v>
                </c:pt>
                <c:pt idx="74">
                  <c:v>-92.783946</c:v>
                </c:pt>
                <c:pt idx="75">
                  <c:v>-92.17374</c:v>
                </c:pt>
                <c:pt idx="76">
                  <c:v>-91.554051</c:v>
                </c:pt>
                <c:pt idx="77">
                  <c:v>-90.898624</c:v>
                </c:pt>
                <c:pt idx="78">
                  <c:v>-90.397301</c:v>
                </c:pt>
                <c:pt idx="79">
                  <c:v>-89.714533</c:v>
                </c:pt>
                <c:pt idx="80">
                  <c:v>-88.913645</c:v>
                </c:pt>
                <c:pt idx="81">
                  <c:v>-88.252201</c:v>
                </c:pt>
                <c:pt idx="82">
                  <c:v>-87.50227</c:v>
                </c:pt>
                <c:pt idx="83">
                  <c:v>-87.049607</c:v>
                </c:pt>
                <c:pt idx="84">
                  <c:v>-86.346538</c:v>
                </c:pt>
                <c:pt idx="85">
                  <c:v>-85.409214</c:v>
                </c:pt>
                <c:pt idx="86">
                  <c:v>-84.20365</c:v>
                </c:pt>
                <c:pt idx="87">
                  <c:v>-83.368388</c:v>
                </c:pt>
                <c:pt idx="88">
                  <c:v>-82.280731</c:v>
                </c:pt>
                <c:pt idx="89">
                  <c:v>-81.386586</c:v>
                </c:pt>
                <c:pt idx="90">
                  <c:v>-80.147703</c:v>
                </c:pt>
                <c:pt idx="91">
                  <c:v>-79.315606</c:v>
                </c:pt>
                <c:pt idx="92">
                  <c:v>-77.984359</c:v>
                </c:pt>
                <c:pt idx="93">
                  <c:v>-76.362179</c:v>
                </c:pt>
                <c:pt idx="94">
                  <c:v>-75.165948</c:v>
                </c:pt>
                <c:pt idx="95">
                  <c:v>-73.193753</c:v>
                </c:pt>
                <c:pt idx="96">
                  <c:v>-71.096035</c:v>
                </c:pt>
                <c:pt idx="97">
                  <c:v>-68.946205</c:v>
                </c:pt>
                <c:pt idx="98">
                  <c:v>-65.875842</c:v>
                </c:pt>
                <c:pt idx="99">
                  <c:v>-62.343176</c:v>
                </c:pt>
                <c:pt idx="100">
                  <c:v>-52.445822</c:v>
                </c:pt>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4"/>
          <c:order val="4"/>
          <c:tx>
            <c:strRef>
              <c:f>'[R4-16xxxx_Calibration on NR coexistence study for WP5D_#81_CATTv2_QC_Huawei_NEC_ZTE.xls]Step 4, No.8'!$F$25</c:f>
              <c:strCache>
                <c:ptCount val="1"/>
                <c:pt idx="0">
                  <c:v>Samsung</c:v>
                </c:pt>
              </c:strCache>
            </c:strRef>
          </c:tx>
          <c:spPr>
            <a:ln w="25400" cap="rnd" cmpd="sng" algn="ctr">
              <a:solidFill>
                <a:srgbClr val="666699">
                  <a:alpha val="100000"/>
                </a:srgbClr>
              </a:solidFill>
              <a:prstDash val="solid"/>
              <a:round/>
            </a:ln>
          </c:spPr>
          <c:marker>
            <c:symbol val="none"/>
          </c:marker>
          <c:dLbls>
            <c:delete val="1"/>
          </c:dLbls>
          <c:xVal>
            <c:numRef>
              <c:f>'[R4-16xxxx_Calibration on NR coexistence study for WP5D_#81_CATTv2_QC_Huawei_NEC_ZTE.xls]Step 4, No.8'!$F$27:$F$127</c:f>
              <c:numCache>
                <c:formatCode>General</c:formatCode>
                <c:ptCount val="101"/>
                <c:pt idx="0">
                  <c:v>-168.379</c:v>
                </c:pt>
                <c:pt idx="1">
                  <c:v>-155.007</c:v>
                </c:pt>
                <c:pt idx="2">
                  <c:v>-150.314</c:v>
                </c:pt>
                <c:pt idx="3">
                  <c:v>-148.047</c:v>
                </c:pt>
                <c:pt idx="4">
                  <c:v>-146.482</c:v>
                </c:pt>
                <c:pt idx="5">
                  <c:v>-144.964</c:v>
                </c:pt>
                <c:pt idx="6">
                  <c:v>-143.674</c:v>
                </c:pt>
                <c:pt idx="7">
                  <c:v>-142.329</c:v>
                </c:pt>
                <c:pt idx="8">
                  <c:v>-140.994</c:v>
                </c:pt>
                <c:pt idx="9">
                  <c:v>-139.84</c:v>
                </c:pt>
                <c:pt idx="10">
                  <c:v>-138.729</c:v>
                </c:pt>
                <c:pt idx="11">
                  <c:v>-137.836</c:v>
                </c:pt>
                <c:pt idx="12">
                  <c:v>-137.047</c:v>
                </c:pt>
                <c:pt idx="13">
                  <c:v>-136.02</c:v>
                </c:pt>
                <c:pt idx="14">
                  <c:v>-135.249</c:v>
                </c:pt>
                <c:pt idx="15">
                  <c:v>-134.406</c:v>
                </c:pt>
                <c:pt idx="16">
                  <c:v>-133.556</c:v>
                </c:pt>
                <c:pt idx="17">
                  <c:v>-132.877</c:v>
                </c:pt>
                <c:pt idx="18">
                  <c:v>-132.218</c:v>
                </c:pt>
                <c:pt idx="19">
                  <c:v>-131.475</c:v>
                </c:pt>
                <c:pt idx="20">
                  <c:v>-130.836</c:v>
                </c:pt>
                <c:pt idx="21">
                  <c:v>-130.269</c:v>
                </c:pt>
                <c:pt idx="22">
                  <c:v>-129.718</c:v>
                </c:pt>
                <c:pt idx="23">
                  <c:v>-129.058</c:v>
                </c:pt>
                <c:pt idx="24">
                  <c:v>-128.238</c:v>
                </c:pt>
                <c:pt idx="25">
                  <c:v>-127.646</c:v>
                </c:pt>
                <c:pt idx="26">
                  <c:v>-127.045</c:v>
                </c:pt>
                <c:pt idx="27">
                  <c:v>-126.37</c:v>
                </c:pt>
                <c:pt idx="28">
                  <c:v>-125.818</c:v>
                </c:pt>
                <c:pt idx="29">
                  <c:v>-125.115</c:v>
                </c:pt>
                <c:pt idx="30">
                  <c:v>-124.482</c:v>
                </c:pt>
                <c:pt idx="31">
                  <c:v>-123.87</c:v>
                </c:pt>
                <c:pt idx="32">
                  <c:v>-123.263</c:v>
                </c:pt>
                <c:pt idx="33">
                  <c:v>-122.618</c:v>
                </c:pt>
                <c:pt idx="34">
                  <c:v>-122.166</c:v>
                </c:pt>
                <c:pt idx="35">
                  <c:v>-121.551</c:v>
                </c:pt>
                <c:pt idx="36">
                  <c:v>-121.036</c:v>
                </c:pt>
                <c:pt idx="37">
                  <c:v>-120.515</c:v>
                </c:pt>
                <c:pt idx="38">
                  <c:v>-119.99</c:v>
                </c:pt>
                <c:pt idx="39">
                  <c:v>-119.556</c:v>
                </c:pt>
                <c:pt idx="40">
                  <c:v>-118.917</c:v>
                </c:pt>
                <c:pt idx="41">
                  <c:v>-118.326</c:v>
                </c:pt>
                <c:pt idx="42">
                  <c:v>-117.793</c:v>
                </c:pt>
                <c:pt idx="43">
                  <c:v>-117.386</c:v>
                </c:pt>
                <c:pt idx="44">
                  <c:v>-116.84</c:v>
                </c:pt>
                <c:pt idx="45">
                  <c:v>-116.239</c:v>
                </c:pt>
                <c:pt idx="46">
                  <c:v>-115.836</c:v>
                </c:pt>
                <c:pt idx="47">
                  <c:v>-115.299</c:v>
                </c:pt>
                <c:pt idx="48">
                  <c:v>-114.734</c:v>
                </c:pt>
                <c:pt idx="49">
                  <c:v>-114.136</c:v>
                </c:pt>
                <c:pt idx="50">
                  <c:v>-113.694</c:v>
                </c:pt>
                <c:pt idx="51">
                  <c:v>-113.228</c:v>
                </c:pt>
                <c:pt idx="52">
                  <c:v>-112.631</c:v>
                </c:pt>
                <c:pt idx="53">
                  <c:v>-112.041</c:v>
                </c:pt>
                <c:pt idx="54">
                  <c:v>-111.571</c:v>
                </c:pt>
                <c:pt idx="55">
                  <c:v>-111.117</c:v>
                </c:pt>
                <c:pt idx="56">
                  <c:v>-110.371</c:v>
                </c:pt>
                <c:pt idx="57">
                  <c:v>-109.731</c:v>
                </c:pt>
                <c:pt idx="58">
                  <c:v>-109.182</c:v>
                </c:pt>
                <c:pt idx="59">
                  <c:v>-108.723</c:v>
                </c:pt>
                <c:pt idx="60">
                  <c:v>-108.086</c:v>
                </c:pt>
                <c:pt idx="61">
                  <c:v>-107.601</c:v>
                </c:pt>
                <c:pt idx="62">
                  <c:v>-107.122</c:v>
                </c:pt>
                <c:pt idx="63">
                  <c:v>-106.539</c:v>
                </c:pt>
                <c:pt idx="64">
                  <c:v>-106.064</c:v>
                </c:pt>
                <c:pt idx="65">
                  <c:v>-105.498</c:v>
                </c:pt>
                <c:pt idx="66">
                  <c:v>-104.96</c:v>
                </c:pt>
                <c:pt idx="67">
                  <c:v>-104.303</c:v>
                </c:pt>
                <c:pt idx="68">
                  <c:v>-103.943</c:v>
                </c:pt>
                <c:pt idx="69">
                  <c:v>-103.399</c:v>
                </c:pt>
                <c:pt idx="70">
                  <c:v>-102.681</c:v>
                </c:pt>
                <c:pt idx="71">
                  <c:v>-101.959</c:v>
                </c:pt>
                <c:pt idx="72">
                  <c:v>-101.348</c:v>
                </c:pt>
                <c:pt idx="73">
                  <c:v>-100.643</c:v>
                </c:pt>
                <c:pt idx="74">
                  <c:v>-100.072</c:v>
                </c:pt>
                <c:pt idx="75">
                  <c:v>-99.451</c:v>
                </c:pt>
                <c:pt idx="76">
                  <c:v>-98.757</c:v>
                </c:pt>
                <c:pt idx="77">
                  <c:v>-98.03</c:v>
                </c:pt>
                <c:pt idx="78">
                  <c:v>-97.276</c:v>
                </c:pt>
                <c:pt idx="79">
                  <c:v>-96.616</c:v>
                </c:pt>
                <c:pt idx="80">
                  <c:v>-95.933</c:v>
                </c:pt>
                <c:pt idx="81">
                  <c:v>-95.134</c:v>
                </c:pt>
                <c:pt idx="82">
                  <c:v>-94.32</c:v>
                </c:pt>
                <c:pt idx="83">
                  <c:v>-93.361</c:v>
                </c:pt>
                <c:pt idx="84">
                  <c:v>-92.36</c:v>
                </c:pt>
                <c:pt idx="85">
                  <c:v>-91.531</c:v>
                </c:pt>
                <c:pt idx="86">
                  <c:v>-90.663</c:v>
                </c:pt>
                <c:pt idx="87">
                  <c:v>-89.756</c:v>
                </c:pt>
                <c:pt idx="88">
                  <c:v>-88.421</c:v>
                </c:pt>
                <c:pt idx="89">
                  <c:v>-86.895</c:v>
                </c:pt>
                <c:pt idx="90">
                  <c:v>-86.07</c:v>
                </c:pt>
                <c:pt idx="91">
                  <c:v>-84.799</c:v>
                </c:pt>
                <c:pt idx="92">
                  <c:v>-83.449</c:v>
                </c:pt>
                <c:pt idx="93">
                  <c:v>-82.225</c:v>
                </c:pt>
                <c:pt idx="94">
                  <c:v>-80.901</c:v>
                </c:pt>
                <c:pt idx="95">
                  <c:v>-79.47</c:v>
                </c:pt>
                <c:pt idx="96">
                  <c:v>-77.709</c:v>
                </c:pt>
                <c:pt idx="97">
                  <c:v>-75.141</c:v>
                </c:pt>
                <c:pt idx="98">
                  <c:v>-72.661</c:v>
                </c:pt>
                <c:pt idx="99">
                  <c:v>-68.347</c:v>
                </c:pt>
                <c:pt idx="100">
                  <c:v>-57.982</c:v>
                </c:pt>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5"/>
          <c:order val="5"/>
          <c:tx>
            <c:strRef>
              <c:f>'[R4-16xxxx_Calibration on NR coexistence study for WP5D_#81_CATTv2_QC_Huawei_NEC_ZTE.xls]Step 4, No.8'!$G$25</c:f>
              <c:strCache>
                <c:ptCount val="1"/>
                <c:pt idx="0">
                  <c:v>Qualcomm</c:v>
                </c:pt>
              </c:strCache>
            </c:strRef>
          </c:tx>
          <c:spPr>
            <a:ln w="25400" cap="rnd" cmpd="sng" algn="ctr">
              <a:solidFill>
                <a:srgbClr val="FF6600">
                  <a:alpha val="100000"/>
                </a:srgbClr>
              </a:solidFill>
              <a:prstDash val="solid"/>
              <a:round/>
            </a:ln>
          </c:spPr>
          <c:marker>
            <c:symbol val="none"/>
          </c:marker>
          <c:dLbls>
            <c:delete val="1"/>
          </c:dLbls>
          <c:xVal>
            <c:numRef>
              <c:f>'[R4-16xxxx_Calibration on NR coexistence study for WP5D_#81_CATTv2_QC_Huawei_NEC_ZTE.xls]Step 4, No.8'!$G$27:$G$127</c:f>
              <c:numCache>
                <c:formatCode>General</c:formatCode>
                <c:ptCount val="101"/>
                <c:pt idx="0">
                  <c:v>-170.2747</c:v>
                </c:pt>
                <c:pt idx="1">
                  <c:v>-145.3437</c:v>
                </c:pt>
                <c:pt idx="2">
                  <c:v>-141.8153</c:v>
                </c:pt>
                <c:pt idx="3">
                  <c:v>-139.6062</c:v>
                </c:pt>
                <c:pt idx="4">
                  <c:v>-137.8028</c:v>
                </c:pt>
                <c:pt idx="5">
                  <c:v>-136.3372</c:v>
                </c:pt>
                <c:pt idx="6">
                  <c:v>-135.0033</c:v>
                </c:pt>
                <c:pt idx="7">
                  <c:v>-133.8107</c:v>
                </c:pt>
                <c:pt idx="8">
                  <c:v>-132.678</c:v>
                </c:pt>
                <c:pt idx="9">
                  <c:v>-131.7133</c:v>
                </c:pt>
                <c:pt idx="10">
                  <c:v>-130.7791</c:v>
                </c:pt>
                <c:pt idx="11">
                  <c:v>-129.9247</c:v>
                </c:pt>
                <c:pt idx="12">
                  <c:v>-129.0524</c:v>
                </c:pt>
                <c:pt idx="13">
                  <c:v>-128.235</c:v>
                </c:pt>
                <c:pt idx="14">
                  <c:v>-127.434</c:v>
                </c:pt>
                <c:pt idx="15">
                  <c:v>-126.6547</c:v>
                </c:pt>
                <c:pt idx="16">
                  <c:v>-125.9711</c:v>
                </c:pt>
                <c:pt idx="17">
                  <c:v>-125.3178</c:v>
                </c:pt>
                <c:pt idx="18">
                  <c:v>-124.6936</c:v>
                </c:pt>
                <c:pt idx="19">
                  <c:v>-124.0434</c:v>
                </c:pt>
                <c:pt idx="20">
                  <c:v>-123.45</c:v>
                </c:pt>
                <c:pt idx="21">
                  <c:v>-122.8111</c:v>
                </c:pt>
                <c:pt idx="22">
                  <c:v>-122.1795</c:v>
                </c:pt>
                <c:pt idx="23">
                  <c:v>-121.5393</c:v>
                </c:pt>
                <c:pt idx="24">
                  <c:v>-120.9817</c:v>
                </c:pt>
                <c:pt idx="25">
                  <c:v>-120.3972</c:v>
                </c:pt>
                <c:pt idx="26">
                  <c:v>-119.8279</c:v>
                </c:pt>
                <c:pt idx="27">
                  <c:v>-119.2805</c:v>
                </c:pt>
                <c:pt idx="28">
                  <c:v>-118.6947</c:v>
                </c:pt>
                <c:pt idx="29">
                  <c:v>-118.1151</c:v>
                </c:pt>
                <c:pt idx="30">
                  <c:v>-117.5645</c:v>
                </c:pt>
                <c:pt idx="31">
                  <c:v>-117.0011</c:v>
                </c:pt>
                <c:pt idx="32">
                  <c:v>-116.4537</c:v>
                </c:pt>
                <c:pt idx="33">
                  <c:v>-115.914</c:v>
                </c:pt>
                <c:pt idx="34">
                  <c:v>-115.3847</c:v>
                </c:pt>
                <c:pt idx="35">
                  <c:v>-114.8598</c:v>
                </c:pt>
                <c:pt idx="36">
                  <c:v>-114.3312</c:v>
                </c:pt>
                <c:pt idx="37">
                  <c:v>-113.7791</c:v>
                </c:pt>
                <c:pt idx="38">
                  <c:v>-113.2641</c:v>
                </c:pt>
                <c:pt idx="39">
                  <c:v>-112.7479</c:v>
                </c:pt>
                <c:pt idx="40">
                  <c:v>-112.2474</c:v>
                </c:pt>
                <c:pt idx="41">
                  <c:v>-111.7244</c:v>
                </c:pt>
                <c:pt idx="42">
                  <c:v>-111.236</c:v>
                </c:pt>
                <c:pt idx="43">
                  <c:v>-110.7465</c:v>
                </c:pt>
                <c:pt idx="44">
                  <c:v>-110.2609</c:v>
                </c:pt>
                <c:pt idx="45">
                  <c:v>-109.7021</c:v>
                </c:pt>
                <c:pt idx="46">
                  <c:v>-109.176</c:v>
                </c:pt>
                <c:pt idx="47">
                  <c:v>-108.675</c:v>
                </c:pt>
                <c:pt idx="48">
                  <c:v>-108.1734</c:v>
                </c:pt>
                <c:pt idx="49">
                  <c:v>-107.652</c:v>
                </c:pt>
                <c:pt idx="50">
                  <c:v>-107.0753</c:v>
                </c:pt>
                <c:pt idx="51">
                  <c:v>-106.5576</c:v>
                </c:pt>
                <c:pt idx="52">
                  <c:v>-106.0263</c:v>
                </c:pt>
                <c:pt idx="53">
                  <c:v>-105.474</c:v>
                </c:pt>
                <c:pt idx="54">
                  <c:v>-104.9565</c:v>
                </c:pt>
                <c:pt idx="55">
                  <c:v>-104.3803</c:v>
                </c:pt>
                <c:pt idx="56">
                  <c:v>-103.8276</c:v>
                </c:pt>
                <c:pt idx="57">
                  <c:v>-103.2795</c:v>
                </c:pt>
                <c:pt idx="58">
                  <c:v>-102.743</c:v>
                </c:pt>
                <c:pt idx="59">
                  <c:v>-102.1739</c:v>
                </c:pt>
                <c:pt idx="60">
                  <c:v>-101.6252</c:v>
                </c:pt>
                <c:pt idx="61">
                  <c:v>-101.0611</c:v>
                </c:pt>
                <c:pt idx="62">
                  <c:v>-100.5025</c:v>
                </c:pt>
                <c:pt idx="63">
                  <c:v>-99.9228</c:v>
                </c:pt>
                <c:pt idx="64">
                  <c:v>-99.3519</c:v>
                </c:pt>
                <c:pt idx="65">
                  <c:v>-98.776</c:v>
                </c:pt>
                <c:pt idx="66">
                  <c:v>-98.2114</c:v>
                </c:pt>
                <c:pt idx="67">
                  <c:v>-97.6372</c:v>
                </c:pt>
                <c:pt idx="68">
                  <c:v>-97.0046</c:v>
                </c:pt>
                <c:pt idx="69">
                  <c:v>-96.376</c:v>
                </c:pt>
                <c:pt idx="70">
                  <c:v>-95.704</c:v>
                </c:pt>
                <c:pt idx="71">
                  <c:v>-95.0753</c:v>
                </c:pt>
                <c:pt idx="72">
                  <c:v>-94.4326</c:v>
                </c:pt>
                <c:pt idx="73">
                  <c:v>-93.7142</c:v>
                </c:pt>
                <c:pt idx="74">
                  <c:v>-93.0232</c:v>
                </c:pt>
                <c:pt idx="75">
                  <c:v>-92.3366</c:v>
                </c:pt>
                <c:pt idx="76">
                  <c:v>-91.606</c:v>
                </c:pt>
                <c:pt idx="77">
                  <c:v>-90.7707</c:v>
                </c:pt>
                <c:pt idx="78">
                  <c:v>-89.9239</c:v>
                </c:pt>
                <c:pt idx="79">
                  <c:v>-89.0732</c:v>
                </c:pt>
                <c:pt idx="80">
                  <c:v>-88.2051</c:v>
                </c:pt>
                <c:pt idx="81">
                  <c:v>-87.3352</c:v>
                </c:pt>
                <c:pt idx="82">
                  <c:v>-86.3883</c:v>
                </c:pt>
                <c:pt idx="83">
                  <c:v>-85.417</c:v>
                </c:pt>
                <c:pt idx="84">
                  <c:v>-84.4012</c:v>
                </c:pt>
                <c:pt idx="85">
                  <c:v>-83.2775</c:v>
                </c:pt>
                <c:pt idx="86">
                  <c:v>-82.2543</c:v>
                </c:pt>
                <c:pt idx="87">
                  <c:v>-81.1606</c:v>
                </c:pt>
                <c:pt idx="88">
                  <c:v>-80.0257</c:v>
                </c:pt>
                <c:pt idx="89">
                  <c:v>-78.8895</c:v>
                </c:pt>
                <c:pt idx="90">
                  <c:v>-77.7404</c:v>
                </c:pt>
                <c:pt idx="91">
                  <c:v>-76.5415</c:v>
                </c:pt>
                <c:pt idx="92">
                  <c:v>-75.3632</c:v>
                </c:pt>
                <c:pt idx="93">
                  <c:v>-74.0826</c:v>
                </c:pt>
                <c:pt idx="94">
                  <c:v>-72.7537</c:v>
                </c:pt>
                <c:pt idx="95">
                  <c:v>-71.3867</c:v>
                </c:pt>
                <c:pt idx="96">
                  <c:v>-69.8574</c:v>
                </c:pt>
                <c:pt idx="97">
                  <c:v>-68.0617</c:v>
                </c:pt>
                <c:pt idx="98">
                  <c:v>-65.9308</c:v>
                </c:pt>
                <c:pt idx="99">
                  <c:v>-62.8266</c:v>
                </c:pt>
                <c:pt idx="100">
                  <c:v>-48.061</c:v>
                </c:pt>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6"/>
          <c:order val="6"/>
          <c:tx>
            <c:strRef>
              <c:f>'[R4-16xxxx_Calibration on NR coexistence study for WP5D_#81_CATTv2_QC_Huawei_NEC_ZTE.xls]Step 4, No.8'!$H$25</c:f>
              <c:strCache>
                <c:ptCount val="1"/>
                <c:pt idx="0">
                  <c:v>Intel</c:v>
                </c:pt>
              </c:strCache>
            </c:strRef>
          </c:tx>
          <c:spPr>
            <a:ln w="25400" cap="rnd" cmpd="sng" algn="ctr">
              <a:solidFill>
                <a:srgbClr val="666699">
                  <a:alpha val="100000"/>
                </a:srgbClr>
              </a:solidFill>
              <a:prstDash val="solid"/>
              <a:round/>
            </a:ln>
          </c:spPr>
          <c:marker>
            <c:symbol val="none"/>
          </c:marker>
          <c:dLbls>
            <c:delete val="1"/>
          </c:dLbls>
          <c:xVal>
            <c:numRef>
              <c:f>'[R4-16xxxx_Calibration on NR coexistence study for WP5D_#81_CATTv2_QC_Huawei_NEC_ZTE.xls]Step 4, No.8'!$H$27:$H$127</c:f>
              <c:numCache>
                <c:formatCode>General</c:formatCode>
                <c:ptCount val="101"/>
                <c:pt idx="0">
                  <c:v>-153.8111</c:v>
                </c:pt>
                <c:pt idx="1">
                  <c:v>-146.7087</c:v>
                </c:pt>
                <c:pt idx="2">
                  <c:v>-144.1007</c:v>
                </c:pt>
                <c:pt idx="3">
                  <c:v>-140.6733</c:v>
                </c:pt>
                <c:pt idx="4">
                  <c:v>-139.8116</c:v>
                </c:pt>
                <c:pt idx="5">
                  <c:v>-138.078</c:v>
                </c:pt>
                <c:pt idx="6">
                  <c:v>-137.0042</c:v>
                </c:pt>
                <c:pt idx="7">
                  <c:v>-135.739</c:v>
                </c:pt>
                <c:pt idx="8">
                  <c:v>-134.1244</c:v>
                </c:pt>
                <c:pt idx="9">
                  <c:v>-133.4197</c:v>
                </c:pt>
                <c:pt idx="10">
                  <c:v>-132.377</c:v>
                </c:pt>
                <c:pt idx="11">
                  <c:v>-131.1359</c:v>
                </c:pt>
                <c:pt idx="12">
                  <c:v>-130.5351</c:v>
                </c:pt>
                <c:pt idx="13">
                  <c:v>-129.7455</c:v>
                </c:pt>
                <c:pt idx="14">
                  <c:v>-129.1335</c:v>
                </c:pt>
                <c:pt idx="15">
                  <c:v>-128.4987</c:v>
                </c:pt>
                <c:pt idx="16">
                  <c:v>-127.737</c:v>
                </c:pt>
                <c:pt idx="17">
                  <c:v>-126.8635</c:v>
                </c:pt>
                <c:pt idx="18">
                  <c:v>-126.3912</c:v>
                </c:pt>
                <c:pt idx="19">
                  <c:v>-125.5704</c:v>
                </c:pt>
                <c:pt idx="20">
                  <c:v>-124.4406</c:v>
                </c:pt>
                <c:pt idx="21">
                  <c:v>-123.8793</c:v>
                </c:pt>
                <c:pt idx="22">
                  <c:v>-123.2744</c:v>
                </c:pt>
                <c:pt idx="23">
                  <c:v>-122.5113</c:v>
                </c:pt>
                <c:pt idx="24">
                  <c:v>-121.9008</c:v>
                </c:pt>
                <c:pt idx="25">
                  <c:v>-121.4385</c:v>
                </c:pt>
                <c:pt idx="26">
                  <c:v>-120.9189</c:v>
                </c:pt>
                <c:pt idx="27">
                  <c:v>-120.5164</c:v>
                </c:pt>
                <c:pt idx="28">
                  <c:v>-119.9356</c:v>
                </c:pt>
                <c:pt idx="29">
                  <c:v>-119.1884</c:v>
                </c:pt>
                <c:pt idx="30">
                  <c:v>-118.8004</c:v>
                </c:pt>
                <c:pt idx="31">
                  <c:v>-118.4158</c:v>
                </c:pt>
                <c:pt idx="32">
                  <c:v>-117.6256</c:v>
                </c:pt>
                <c:pt idx="33">
                  <c:v>-116.8537</c:v>
                </c:pt>
                <c:pt idx="34">
                  <c:v>-116.3362</c:v>
                </c:pt>
                <c:pt idx="35">
                  <c:v>-115.7421</c:v>
                </c:pt>
                <c:pt idx="36">
                  <c:v>-115.2702</c:v>
                </c:pt>
                <c:pt idx="37">
                  <c:v>-114.6258</c:v>
                </c:pt>
                <c:pt idx="38">
                  <c:v>-114.0565</c:v>
                </c:pt>
                <c:pt idx="39">
                  <c:v>-113.6607</c:v>
                </c:pt>
                <c:pt idx="40">
                  <c:v>-113.0804</c:v>
                </c:pt>
                <c:pt idx="41">
                  <c:v>-112.3018</c:v>
                </c:pt>
                <c:pt idx="42">
                  <c:v>-111.8998</c:v>
                </c:pt>
                <c:pt idx="43">
                  <c:v>-111.5146</c:v>
                </c:pt>
                <c:pt idx="44">
                  <c:v>-110.927</c:v>
                </c:pt>
                <c:pt idx="45">
                  <c:v>-110.4935</c:v>
                </c:pt>
                <c:pt idx="46">
                  <c:v>-109.4196</c:v>
                </c:pt>
                <c:pt idx="47">
                  <c:v>-108.9094</c:v>
                </c:pt>
                <c:pt idx="48">
                  <c:v>-108.4619</c:v>
                </c:pt>
                <c:pt idx="49">
                  <c:v>-108.0467</c:v>
                </c:pt>
                <c:pt idx="50">
                  <c:v>-107.1598</c:v>
                </c:pt>
                <c:pt idx="51">
                  <c:v>-106.7239</c:v>
                </c:pt>
                <c:pt idx="52">
                  <c:v>-106.227</c:v>
                </c:pt>
                <c:pt idx="53">
                  <c:v>-105.8299</c:v>
                </c:pt>
                <c:pt idx="54">
                  <c:v>-105.3183</c:v>
                </c:pt>
                <c:pt idx="55">
                  <c:v>-104.4875</c:v>
                </c:pt>
                <c:pt idx="56">
                  <c:v>-104.1831</c:v>
                </c:pt>
                <c:pt idx="57">
                  <c:v>-103.655</c:v>
                </c:pt>
                <c:pt idx="58">
                  <c:v>-103.2146</c:v>
                </c:pt>
                <c:pt idx="59">
                  <c:v>-102.4311</c:v>
                </c:pt>
                <c:pt idx="60">
                  <c:v>-101.7699</c:v>
                </c:pt>
                <c:pt idx="61">
                  <c:v>-100.9043</c:v>
                </c:pt>
                <c:pt idx="62">
                  <c:v>-100.3808</c:v>
                </c:pt>
                <c:pt idx="63">
                  <c:v>-99.8499</c:v>
                </c:pt>
                <c:pt idx="64">
                  <c:v>-99.2918</c:v>
                </c:pt>
                <c:pt idx="65">
                  <c:v>-98.8561</c:v>
                </c:pt>
                <c:pt idx="66">
                  <c:v>-98.4847</c:v>
                </c:pt>
                <c:pt idx="67">
                  <c:v>-98.0667</c:v>
                </c:pt>
                <c:pt idx="68">
                  <c:v>-97.6473</c:v>
                </c:pt>
                <c:pt idx="69">
                  <c:v>-97.4343</c:v>
                </c:pt>
                <c:pt idx="70">
                  <c:v>-96.976</c:v>
                </c:pt>
                <c:pt idx="71">
                  <c:v>-96.4636</c:v>
                </c:pt>
                <c:pt idx="72">
                  <c:v>-95.8161</c:v>
                </c:pt>
                <c:pt idx="73">
                  <c:v>-95.0376</c:v>
                </c:pt>
                <c:pt idx="74">
                  <c:v>-94.6166</c:v>
                </c:pt>
                <c:pt idx="75">
                  <c:v>-94.0962</c:v>
                </c:pt>
                <c:pt idx="76">
                  <c:v>-93.5285</c:v>
                </c:pt>
                <c:pt idx="77">
                  <c:v>-92.656</c:v>
                </c:pt>
                <c:pt idx="78">
                  <c:v>-91.6939</c:v>
                </c:pt>
                <c:pt idx="79">
                  <c:v>-91.2841</c:v>
                </c:pt>
                <c:pt idx="80">
                  <c:v>-90.4501</c:v>
                </c:pt>
                <c:pt idx="81">
                  <c:v>-89.8739</c:v>
                </c:pt>
                <c:pt idx="82">
                  <c:v>-89.2435</c:v>
                </c:pt>
                <c:pt idx="83">
                  <c:v>-88.9659</c:v>
                </c:pt>
                <c:pt idx="84">
                  <c:v>-87.8056</c:v>
                </c:pt>
                <c:pt idx="85">
                  <c:v>-86.689</c:v>
                </c:pt>
                <c:pt idx="86">
                  <c:v>-86.0544</c:v>
                </c:pt>
                <c:pt idx="87">
                  <c:v>-85.2229</c:v>
                </c:pt>
                <c:pt idx="88">
                  <c:v>-84.3585</c:v>
                </c:pt>
                <c:pt idx="89">
                  <c:v>-83.4777</c:v>
                </c:pt>
                <c:pt idx="90">
                  <c:v>-82.4186</c:v>
                </c:pt>
                <c:pt idx="91">
                  <c:v>-80.9436</c:v>
                </c:pt>
                <c:pt idx="92">
                  <c:v>-80.1371</c:v>
                </c:pt>
                <c:pt idx="93">
                  <c:v>-78.9853</c:v>
                </c:pt>
                <c:pt idx="94">
                  <c:v>-77.3271</c:v>
                </c:pt>
                <c:pt idx="95">
                  <c:v>-75.4444</c:v>
                </c:pt>
                <c:pt idx="96">
                  <c:v>-74.4336</c:v>
                </c:pt>
                <c:pt idx="97">
                  <c:v>-71.6575</c:v>
                </c:pt>
                <c:pt idx="98">
                  <c:v>-70</c:v>
                </c:pt>
                <c:pt idx="99">
                  <c:v>-70</c:v>
                </c:pt>
                <c:pt idx="100">
                  <c:v>-70</c:v>
                </c:pt>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7"/>
          <c:order val="7"/>
          <c:tx>
            <c:strRef>
              <c:f>'[R4-16xxxx_Calibration on NR coexistence study for WP5D_#81_CATTv2_QC_Huawei_NEC_ZTE.xls]Step 4, No.8'!$I$25</c:f>
              <c:strCache>
                <c:ptCount val="1"/>
                <c:pt idx="0">
                  <c:v>Ericsson</c:v>
                </c:pt>
              </c:strCache>
            </c:strRef>
          </c:tx>
          <c:spPr>
            <a:ln w="25400" cap="rnd" cmpd="sng" algn="ctr">
              <a:solidFill>
                <a:srgbClr val="993366">
                  <a:alpha val="100000"/>
                </a:srgbClr>
              </a:solidFill>
              <a:prstDash val="solid"/>
              <a:round/>
            </a:ln>
          </c:spPr>
          <c:marker>
            <c:symbol val="none"/>
          </c:marker>
          <c:dLbls>
            <c:delete val="1"/>
          </c:dLbls>
          <c:xVal>
            <c:numRef>
              <c:f>'[R4-16xxxx_Calibration on NR coexistence study for WP5D_#81_CATTv2_QC_Huawei_NEC_ZTE.xls]Step 4, No.8'!$I$27:$I$127</c:f>
              <c:numCache>
                <c:formatCode>General</c:formatCode>
                <c:ptCount val="101"/>
                <c:pt idx="0">
                  <c:v>-157.592</c:v>
                </c:pt>
                <c:pt idx="1">
                  <c:v>-151.6071</c:v>
                </c:pt>
                <c:pt idx="2">
                  <c:v>-149.2442</c:v>
                </c:pt>
                <c:pt idx="3">
                  <c:v>-147.6777</c:v>
                </c:pt>
                <c:pt idx="4">
                  <c:v>-146.5174</c:v>
                </c:pt>
                <c:pt idx="5">
                  <c:v>-144.7967</c:v>
                </c:pt>
                <c:pt idx="6">
                  <c:v>-143.4265</c:v>
                </c:pt>
                <c:pt idx="7">
                  <c:v>-142.5728</c:v>
                </c:pt>
                <c:pt idx="8">
                  <c:v>-141.7157</c:v>
                </c:pt>
                <c:pt idx="9">
                  <c:v>-141.2041</c:v>
                </c:pt>
                <c:pt idx="10">
                  <c:v>-140.3392</c:v>
                </c:pt>
                <c:pt idx="11">
                  <c:v>-139.6702</c:v>
                </c:pt>
                <c:pt idx="12">
                  <c:v>-138.6771</c:v>
                </c:pt>
                <c:pt idx="13">
                  <c:v>-137.7978</c:v>
                </c:pt>
                <c:pt idx="14">
                  <c:v>-136.9903</c:v>
                </c:pt>
                <c:pt idx="15">
                  <c:v>-135.6851</c:v>
                </c:pt>
                <c:pt idx="16">
                  <c:v>-134.9068</c:v>
                </c:pt>
                <c:pt idx="17">
                  <c:v>-134.306</c:v>
                </c:pt>
                <c:pt idx="18">
                  <c:v>-133.2807</c:v>
                </c:pt>
                <c:pt idx="19">
                  <c:v>-132.5425</c:v>
                </c:pt>
                <c:pt idx="20">
                  <c:v>-131.7479</c:v>
                </c:pt>
                <c:pt idx="21">
                  <c:v>-131.1561</c:v>
                </c:pt>
                <c:pt idx="22">
                  <c:v>-130.556</c:v>
                </c:pt>
                <c:pt idx="23">
                  <c:v>-129.8823</c:v>
                </c:pt>
                <c:pt idx="24">
                  <c:v>-129.109</c:v>
                </c:pt>
                <c:pt idx="25">
                  <c:v>-128.5173</c:v>
                </c:pt>
                <c:pt idx="26">
                  <c:v>-128.0041</c:v>
                </c:pt>
                <c:pt idx="27">
                  <c:v>-127.2543</c:v>
                </c:pt>
                <c:pt idx="28">
                  <c:v>-126.7535</c:v>
                </c:pt>
                <c:pt idx="29">
                  <c:v>-126.354</c:v>
                </c:pt>
                <c:pt idx="30">
                  <c:v>-125.9727</c:v>
                </c:pt>
                <c:pt idx="31">
                  <c:v>-125.3343</c:v>
                </c:pt>
                <c:pt idx="32">
                  <c:v>-124.9007</c:v>
                </c:pt>
                <c:pt idx="33">
                  <c:v>-124.4152</c:v>
                </c:pt>
                <c:pt idx="34">
                  <c:v>-123.7859</c:v>
                </c:pt>
                <c:pt idx="35">
                  <c:v>-123.4073</c:v>
                </c:pt>
                <c:pt idx="36">
                  <c:v>-122.8271</c:v>
                </c:pt>
                <c:pt idx="37">
                  <c:v>-122.1024</c:v>
                </c:pt>
                <c:pt idx="38">
                  <c:v>-121.6176</c:v>
                </c:pt>
                <c:pt idx="39">
                  <c:v>-121.0888</c:v>
                </c:pt>
                <c:pt idx="40">
                  <c:v>-120.4938</c:v>
                </c:pt>
                <c:pt idx="41">
                  <c:v>-119.9582</c:v>
                </c:pt>
                <c:pt idx="42">
                  <c:v>-119.5241</c:v>
                </c:pt>
                <c:pt idx="43">
                  <c:v>-119.006</c:v>
                </c:pt>
                <c:pt idx="44">
                  <c:v>-118.6164</c:v>
                </c:pt>
                <c:pt idx="45">
                  <c:v>-118.1094</c:v>
                </c:pt>
                <c:pt idx="46">
                  <c:v>-117.5511</c:v>
                </c:pt>
                <c:pt idx="47">
                  <c:v>-117.1662</c:v>
                </c:pt>
                <c:pt idx="48">
                  <c:v>-116.4806</c:v>
                </c:pt>
                <c:pt idx="49">
                  <c:v>-115.8215</c:v>
                </c:pt>
                <c:pt idx="50">
                  <c:v>-115.1238</c:v>
                </c:pt>
                <c:pt idx="51">
                  <c:v>-114.577</c:v>
                </c:pt>
                <c:pt idx="52">
                  <c:v>-113.7119</c:v>
                </c:pt>
                <c:pt idx="53">
                  <c:v>-113.1999</c:v>
                </c:pt>
                <c:pt idx="54">
                  <c:v>-112.5546</c:v>
                </c:pt>
                <c:pt idx="55">
                  <c:v>-112.0599</c:v>
                </c:pt>
                <c:pt idx="56">
                  <c:v>-111.4968</c:v>
                </c:pt>
                <c:pt idx="57">
                  <c:v>-110.7967</c:v>
                </c:pt>
                <c:pt idx="58">
                  <c:v>-109.994</c:v>
                </c:pt>
                <c:pt idx="59">
                  <c:v>-109.3833</c:v>
                </c:pt>
                <c:pt idx="60">
                  <c:v>-108.8637</c:v>
                </c:pt>
                <c:pt idx="61">
                  <c:v>-108.2004</c:v>
                </c:pt>
                <c:pt idx="62">
                  <c:v>-107.6117</c:v>
                </c:pt>
                <c:pt idx="63">
                  <c:v>-107.1509</c:v>
                </c:pt>
                <c:pt idx="64">
                  <c:v>-106.4062</c:v>
                </c:pt>
                <c:pt idx="65">
                  <c:v>-105.7018</c:v>
                </c:pt>
                <c:pt idx="66">
                  <c:v>-105.2083</c:v>
                </c:pt>
                <c:pt idx="67">
                  <c:v>-104.6925</c:v>
                </c:pt>
                <c:pt idx="68">
                  <c:v>-104.1177</c:v>
                </c:pt>
                <c:pt idx="69">
                  <c:v>-103.63</c:v>
                </c:pt>
                <c:pt idx="70">
                  <c:v>-103.1791</c:v>
                </c:pt>
                <c:pt idx="71">
                  <c:v>-102.5751</c:v>
                </c:pt>
                <c:pt idx="72">
                  <c:v>-101.8957</c:v>
                </c:pt>
                <c:pt idx="73">
                  <c:v>-101.3343</c:v>
                </c:pt>
                <c:pt idx="74">
                  <c:v>-100.8004</c:v>
                </c:pt>
                <c:pt idx="75">
                  <c:v>-100.143</c:v>
                </c:pt>
                <c:pt idx="76">
                  <c:v>-99.5717</c:v>
                </c:pt>
                <c:pt idx="77">
                  <c:v>-98.9339</c:v>
                </c:pt>
                <c:pt idx="78">
                  <c:v>-98.2023</c:v>
                </c:pt>
                <c:pt idx="79">
                  <c:v>-97.7805</c:v>
                </c:pt>
                <c:pt idx="80">
                  <c:v>-96.9233</c:v>
                </c:pt>
                <c:pt idx="81">
                  <c:v>-96.4123</c:v>
                </c:pt>
                <c:pt idx="82">
                  <c:v>-95.6971</c:v>
                </c:pt>
                <c:pt idx="83">
                  <c:v>-95.338</c:v>
                </c:pt>
                <c:pt idx="84">
                  <c:v>-94.4811</c:v>
                </c:pt>
                <c:pt idx="85">
                  <c:v>-93.6721</c:v>
                </c:pt>
                <c:pt idx="86">
                  <c:v>-92.6424</c:v>
                </c:pt>
                <c:pt idx="87">
                  <c:v>-91.5168</c:v>
                </c:pt>
                <c:pt idx="88">
                  <c:v>-90.4101</c:v>
                </c:pt>
                <c:pt idx="89">
                  <c:v>-89.7704</c:v>
                </c:pt>
                <c:pt idx="90">
                  <c:v>-88.4827</c:v>
                </c:pt>
                <c:pt idx="91">
                  <c:v>-86.55</c:v>
                </c:pt>
                <c:pt idx="92">
                  <c:v>-84.9981</c:v>
                </c:pt>
                <c:pt idx="93">
                  <c:v>-82.7864</c:v>
                </c:pt>
                <c:pt idx="94">
                  <c:v>-80.6056</c:v>
                </c:pt>
                <c:pt idx="95">
                  <c:v>-78.0575</c:v>
                </c:pt>
                <c:pt idx="96">
                  <c:v>-75.2004</c:v>
                </c:pt>
                <c:pt idx="97">
                  <c:v>-72.3177</c:v>
                </c:pt>
                <c:pt idx="98">
                  <c:v>-68.9882</c:v>
                </c:pt>
                <c:pt idx="99">
                  <c:v>-66.101</c:v>
                </c:pt>
                <c:pt idx="100">
                  <c:v>-53.653</c:v>
                </c:pt>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8"/>
          <c:order val="8"/>
          <c:tx>
            <c:strRef>
              <c:f>'[R4-16xxxx_Calibration on NR coexistence study for WP5D_#81_CATTv2_QC_Huawei_NEC_ZTE.xls]Step 4, No.8'!$J$25</c:f>
              <c:strCache>
                <c:ptCount val="1"/>
                <c:pt idx="0">
                  <c:v>China Telecom</c:v>
                </c:pt>
              </c:strCache>
            </c:strRef>
          </c:tx>
          <c:spPr>
            <a:ln w="25400" cap="rnd" cmpd="sng" algn="ctr">
              <a:solidFill>
                <a:srgbClr val="99CC00">
                  <a:alpha val="100000"/>
                </a:srgbClr>
              </a:solidFill>
              <a:prstDash val="solid"/>
              <a:round/>
            </a:ln>
          </c:spPr>
          <c:marker>
            <c:symbol val="none"/>
          </c:marker>
          <c:dLbls>
            <c:delete val="1"/>
          </c:dLbls>
          <c:xVal>
            <c:numRef>
              <c:f>'[R4-16xxxx_Calibration on NR coexistence study for WP5D_#81_CATTv2_QC_Huawei_NEC_ZTE.xls]Step 4, No.8'!$J$27:$J$127</c:f>
              <c:numCache>
                <c:formatCode>General</c:formatCode>
                <c:ptCount val="101"/>
                <c:pt idx="0">
                  <c:v>-167.818529</c:v>
                </c:pt>
                <c:pt idx="1">
                  <c:v>-146.834096</c:v>
                </c:pt>
                <c:pt idx="2">
                  <c:v>-142.708566</c:v>
                </c:pt>
                <c:pt idx="3">
                  <c:v>-140.430494</c:v>
                </c:pt>
                <c:pt idx="4">
                  <c:v>-138.489398</c:v>
                </c:pt>
                <c:pt idx="5">
                  <c:v>-136.945766</c:v>
                </c:pt>
                <c:pt idx="6">
                  <c:v>-135.585534</c:v>
                </c:pt>
                <c:pt idx="7">
                  <c:v>-134.4528</c:v>
                </c:pt>
                <c:pt idx="8">
                  <c:v>-133.474807</c:v>
                </c:pt>
                <c:pt idx="9">
                  <c:v>-132.455789</c:v>
                </c:pt>
                <c:pt idx="10">
                  <c:v>-131.544549</c:v>
                </c:pt>
                <c:pt idx="11">
                  <c:v>-130.677093</c:v>
                </c:pt>
                <c:pt idx="12">
                  <c:v>-129.858098</c:v>
                </c:pt>
                <c:pt idx="13">
                  <c:v>-129.080491</c:v>
                </c:pt>
                <c:pt idx="14">
                  <c:v>-128.262153</c:v>
                </c:pt>
                <c:pt idx="15">
                  <c:v>-127.459401</c:v>
                </c:pt>
                <c:pt idx="16">
                  <c:v>-126.659039</c:v>
                </c:pt>
                <c:pt idx="17">
                  <c:v>-125.842359</c:v>
                </c:pt>
                <c:pt idx="18">
                  <c:v>-125.11942</c:v>
                </c:pt>
                <c:pt idx="19">
                  <c:v>-124.427109</c:v>
                </c:pt>
                <c:pt idx="20">
                  <c:v>-123.735649</c:v>
                </c:pt>
                <c:pt idx="21">
                  <c:v>-122.988763</c:v>
                </c:pt>
                <c:pt idx="22">
                  <c:v>-122.322215</c:v>
                </c:pt>
                <c:pt idx="23">
                  <c:v>-121.687208</c:v>
                </c:pt>
                <c:pt idx="24">
                  <c:v>-121.05462</c:v>
                </c:pt>
                <c:pt idx="25">
                  <c:v>-120.350445</c:v>
                </c:pt>
                <c:pt idx="26">
                  <c:v>-119.778198</c:v>
                </c:pt>
                <c:pt idx="27">
                  <c:v>-119.193507</c:v>
                </c:pt>
                <c:pt idx="28">
                  <c:v>-118.541512</c:v>
                </c:pt>
                <c:pt idx="29">
                  <c:v>-117.918569</c:v>
                </c:pt>
                <c:pt idx="30">
                  <c:v>-117.339381</c:v>
                </c:pt>
                <c:pt idx="31">
                  <c:v>-116.841985</c:v>
                </c:pt>
                <c:pt idx="32">
                  <c:v>-116.282109</c:v>
                </c:pt>
                <c:pt idx="33">
                  <c:v>-115.741937</c:v>
                </c:pt>
                <c:pt idx="34">
                  <c:v>-115.193854</c:v>
                </c:pt>
                <c:pt idx="35">
                  <c:v>-114.716183</c:v>
                </c:pt>
                <c:pt idx="36">
                  <c:v>-114.227981</c:v>
                </c:pt>
                <c:pt idx="37">
                  <c:v>-113.699963</c:v>
                </c:pt>
                <c:pt idx="38">
                  <c:v>-113.118977</c:v>
                </c:pt>
                <c:pt idx="39">
                  <c:v>-112.597988</c:v>
                </c:pt>
                <c:pt idx="40">
                  <c:v>-112.099255</c:v>
                </c:pt>
                <c:pt idx="41">
                  <c:v>-111.571009</c:v>
                </c:pt>
                <c:pt idx="42">
                  <c:v>-111.091015</c:v>
                </c:pt>
                <c:pt idx="43">
                  <c:v>-110.615905</c:v>
                </c:pt>
                <c:pt idx="44">
                  <c:v>-110.108265</c:v>
                </c:pt>
                <c:pt idx="45">
                  <c:v>-109.533117</c:v>
                </c:pt>
                <c:pt idx="46">
                  <c:v>-109.005973</c:v>
                </c:pt>
                <c:pt idx="47">
                  <c:v>-108.52557</c:v>
                </c:pt>
                <c:pt idx="48">
                  <c:v>-107.978679</c:v>
                </c:pt>
                <c:pt idx="49">
                  <c:v>-107.464093</c:v>
                </c:pt>
                <c:pt idx="50">
                  <c:v>-106.919901</c:v>
                </c:pt>
                <c:pt idx="51">
                  <c:v>-106.355593</c:v>
                </c:pt>
                <c:pt idx="52">
                  <c:v>-105.764016</c:v>
                </c:pt>
                <c:pt idx="53">
                  <c:v>-105.241292</c:v>
                </c:pt>
                <c:pt idx="54">
                  <c:v>-104.683821</c:v>
                </c:pt>
                <c:pt idx="55">
                  <c:v>-104.087917</c:v>
                </c:pt>
                <c:pt idx="56">
                  <c:v>-103.558154</c:v>
                </c:pt>
                <c:pt idx="57">
                  <c:v>-103.000439</c:v>
                </c:pt>
                <c:pt idx="58">
                  <c:v>-102.528319</c:v>
                </c:pt>
                <c:pt idx="59">
                  <c:v>-101.954036</c:v>
                </c:pt>
                <c:pt idx="60">
                  <c:v>-101.332007</c:v>
                </c:pt>
                <c:pt idx="61">
                  <c:v>-100.79739</c:v>
                </c:pt>
                <c:pt idx="62">
                  <c:v>-100.246267</c:v>
                </c:pt>
                <c:pt idx="63">
                  <c:v>-99.689054</c:v>
                </c:pt>
                <c:pt idx="64">
                  <c:v>-99.053285</c:v>
                </c:pt>
                <c:pt idx="65">
                  <c:v>-98.495172</c:v>
                </c:pt>
                <c:pt idx="66">
                  <c:v>-97.924112</c:v>
                </c:pt>
                <c:pt idx="67">
                  <c:v>-97.313386</c:v>
                </c:pt>
                <c:pt idx="68">
                  <c:v>-96.780318</c:v>
                </c:pt>
                <c:pt idx="69">
                  <c:v>-96.240117</c:v>
                </c:pt>
                <c:pt idx="70">
                  <c:v>-95.63002</c:v>
                </c:pt>
                <c:pt idx="71">
                  <c:v>-94.982631</c:v>
                </c:pt>
                <c:pt idx="72">
                  <c:v>-94.380154</c:v>
                </c:pt>
                <c:pt idx="73">
                  <c:v>-93.752391</c:v>
                </c:pt>
                <c:pt idx="74">
                  <c:v>-93.143917</c:v>
                </c:pt>
                <c:pt idx="75">
                  <c:v>-92.4947</c:v>
                </c:pt>
                <c:pt idx="76">
                  <c:v>-91.852461</c:v>
                </c:pt>
                <c:pt idx="77">
                  <c:v>-91.196617</c:v>
                </c:pt>
                <c:pt idx="78">
                  <c:v>-90.580097</c:v>
                </c:pt>
                <c:pt idx="79">
                  <c:v>-89.890257</c:v>
                </c:pt>
                <c:pt idx="80">
                  <c:v>-89.128711</c:v>
                </c:pt>
                <c:pt idx="81">
                  <c:v>-88.432129</c:v>
                </c:pt>
                <c:pt idx="82">
                  <c:v>-87.672607</c:v>
                </c:pt>
                <c:pt idx="83">
                  <c:v>-86.883426</c:v>
                </c:pt>
                <c:pt idx="84">
                  <c:v>-86.073474</c:v>
                </c:pt>
                <c:pt idx="85">
                  <c:v>-85.216801</c:v>
                </c:pt>
                <c:pt idx="86">
                  <c:v>-84.404237</c:v>
                </c:pt>
                <c:pt idx="87">
                  <c:v>-83.359883</c:v>
                </c:pt>
                <c:pt idx="88">
                  <c:v>-82.436871</c:v>
                </c:pt>
                <c:pt idx="89">
                  <c:v>-81.290489</c:v>
                </c:pt>
                <c:pt idx="90">
                  <c:v>-80.008603</c:v>
                </c:pt>
                <c:pt idx="91">
                  <c:v>-78.709252</c:v>
                </c:pt>
                <c:pt idx="92">
                  <c:v>-77.431858</c:v>
                </c:pt>
                <c:pt idx="93">
                  <c:v>-75.749219</c:v>
                </c:pt>
                <c:pt idx="94">
                  <c:v>-73.983141</c:v>
                </c:pt>
                <c:pt idx="95">
                  <c:v>-72.216933</c:v>
                </c:pt>
                <c:pt idx="96">
                  <c:v>-70.049156</c:v>
                </c:pt>
                <c:pt idx="97">
                  <c:v>-67.741262</c:v>
                </c:pt>
                <c:pt idx="98">
                  <c:v>-65.178658</c:v>
                </c:pt>
                <c:pt idx="99">
                  <c:v>-61.404038</c:v>
                </c:pt>
                <c:pt idx="100">
                  <c:v>-54.921056</c:v>
                </c:pt>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9"/>
          <c:order val="9"/>
          <c:tx>
            <c:strRef>
              <c:f>'[R4-16xxxx_Calibration on NR coexistence study for WP5D_#81_CATTv2_QC_Huawei_NEC_ZTE.xls]Step 4, No.8'!$K$25</c:f>
              <c:strCache>
                <c:ptCount val="1"/>
                <c:pt idx="0">
                  <c:v>Nokia, Alcatel-Lucent Shanghai Bell</c:v>
                </c:pt>
              </c:strCache>
            </c:strRef>
          </c:tx>
          <c:spPr>
            <a:ln w="25400" cap="rnd" cmpd="sng" algn="ctr">
              <a:solidFill>
                <a:srgbClr val="666699">
                  <a:alpha val="100000"/>
                </a:srgbClr>
              </a:solidFill>
              <a:prstDash val="solid"/>
              <a:round/>
            </a:ln>
          </c:spPr>
          <c:marker>
            <c:symbol val="none"/>
          </c:marker>
          <c:dLbls>
            <c:delete val="1"/>
          </c:dLbls>
          <c:xVal>
            <c:numRef>
              <c:f>'[R4-16xxxx_Calibration on NR coexistence study for WP5D_#81_CATTv2_QC_Huawei_NEC_ZTE.xls]Step 4, No.8'!$K$27:$K$127</c:f>
              <c:numCache>
                <c:formatCode>General</c:formatCode>
                <c:ptCount val="101"/>
                <c:pt idx="0">
                  <c:v>-165.2002</c:v>
                </c:pt>
                <c:pt idx="1">
                  <c:v>-148.1291</c:v>
                </c:pt>
                <c:pt idx="2">
                  <c:v>-143.9986</c:v>
                </c:pt>
                <c:pt idx="3">
                  <c:v>-141.3241</c:v>
                </c:pt>
                <c:pt idx="4">
                  <c:v>-139.4907</c:v>
                </c:pt>
                <c:pt idx="5">
                  <c:v>-138.0334</c:v>
                </c:pt>
                <c:pt idx="6">
                  <c:v>-136.9849</c:v>
                </c:pt>
                <c:pt idx="7">
                  <c:v>-135.8352</c:v>
                </c:pt>
                <c:pt idx="8">
                  <c:v>-134.4908</c:v>
                </c:pt>
                <c:pt idx="9">
                  <c:v>-133.5066</c:v>
                </c:pt>
                <c:pt idx="10">
                  <c:v>-132.8245</c:v>
                </c:pt>
                <c:pt idx="11">
                  <c:v>-131.8885</c:v>
                </c:pt>
                <c:pt idx="12">
                  <c:v>-130.7844</c:v>
                </c:pt>
                <c:pt idx="13">
                  <c:v>-130.1264</c:v>
                </c:pt>
                <c:pt idx="14">
                  <c:v>-129.2028</c:v>
                </c:pt>
                <c:pt idx="15">
                  <c:v>-128.6098</c:v>
                </c:pt>
                <c:pt idx="16">
                  <c:v>-127.7835</c:v>
                </c:pt>
                <c:pt idx="17">
                  <c:v>-127.0774</c:v>
                </c:pt>
                <c:pt idx="18">
                  <c:v>-126.2584</c:v>
                </c:pt>
                <c:pt idx="19">
                  <c:v>-125.5444</c:v>
                </c:pt>
                <c:pt idx="20">
                  <c:v>-124.2586</c:v>
                </c:pt>
                <c:pt idx="21">
                  <c:v>-123.6374</c:v>
                </c:pt>
                <c:pt idx="22">
                  <c:v>-122.9835</c:v>
                </c:pt>
                <c:pt idx="23">
                  <c:v>-122.4474</c:v>
                </c:pt>
                <c:pt idx="24">
                  <c:v>-121.6576</c:v>
                </c:pt>
                <c:pt idx="25">
                  <c:v>-121.0707</c:v>
                </c:pt>
                <c:pt idx="26">
                  <c:v>-120.6126</c:v>
                </c:pt>
                <c:pt idx="27">
                  <c:v>-120.1665</c:v>
                </c:pt>
                <c:pt idx="28">
                  <c:v>-119.6874</c:v>
                </c:pt>
                <c:pt idx="29">
                  <c:v>-119.0296</c:v>
                </c:pt>
                <c:pt idx="30">
                  <c:v>-118.5018</c:v>
                </c:pt>
                <c:pt idx="31">
                  <c:v>-117.8479</c:v>
                </c:pt>
                <c:pt idx="32">
                  <c:v>-116.9969</c:v>
                </c:pt>
                <c:pt idx="33">
                  <c:v>-116.3804</c:v>
                </c:pt>
                <c:pt idx="34">
                  <c:v>-115.8749</c:v>
                </c:pt>
                <c:pt idx="35">
                  <c:v>-114.9862</c:v>
                </c:pt>
                <c:pt idx="36">
                  <c:v>-114.5547</c:v>
                </c:pt>
                <c:pt idx="37">
                  <c:v>-113.919</c:v>
                </c:pt>
                <c:pt idx="38">
                  <c:v>-113.537</c:v>
                </c:pt>
                <c:pt idx="39">
                  <c:v>-113.1327</c:v>
                </c:pt>
                <c:pt idx="40">
                  <c:v>-112.7695</c:v>
                </c:pt>
                <c:pt idx="41">
                  <c:v>-112.0351</c:v>
                </c:pt>
                <c:pt idx="42">
                  <c:v>-111.3863</c:v>
                </c:pt>
                <c:pt idx="43">
                  <c:v>-110.9138</c:v>
                </c:pt>
                <c:pt idx="44">
                  <c:v>-110.3234</c:v>
                </c:pt>
                <c:pt idx="45">
                  <c:v>-109.8242</c:v>
                </c:pt>
                <c:pt idx="46">
                  <c:v>-109.3088</c:v>
                </c:pt>
                <c:pt idx="47">
                  <c:v>-108.7035</c:v>
                </c:pt>
                <c:pt idx="48">
                  <c:v>-108.3074</c:v>
                </c:pt>
                <c:pt idx="49">
                  <c:v>-107.5251</c:v>
                </c:pt>
                <c:pt idx="50">
                  <c:v>-106.8707</c:v>
                </c:pt>
                <c:pt idx="51">
                  <c:v>-106.3329</c:v>
                </c:pt>
                <c:pt idx="52">
                  <c:v>-105.5691</c:v>
                </c:pt>
                <c:pt idx="53">
                  <c:v>-105.0906</c:v>
                </c:pt>
                <c:pt idx="54">
                  <c:v>-104.4078</c:v>
                </c:pt>
                <c:pt idx="55">
                  <c:v>-103.8874</c:v>
                </c:pt>
                <c:pt idx="56">
                  <c:v>-103.1741</c:v>
                </c:pt>
                <c:pt idx="57">
                  <c:v>-102.692</c:v>
                </c:pt>
                <c:pt idx="58">
                  <c:v>-102.1246</c:v>
                </c:pt>
                <c:pt idx="59">
                  <c:v>-101.6432</c:v>
                </c:pt>
                <c:pt idx="60">
                  <c:v>-101.2073</c:v>
                </c:pt>
                <c:pt idx="61">
                  <c:v>-100.6454</c:v>
                </c:pt>
                <c:pt idx="62">
                  <c:v>-100.1053</c:v>
                </c:pt>
                <c:pt idx="63">
                  <c:v>-99.621</c:v>
                </c:pt>
                <c:pt idx="64">
                  <c:v>-99.1001</c:v>
                </c:pt>
                <c:pt idx="65">
                  <c:v>-98.4568</c:v>
                </c:pt>
                <c:pt idx="66">
                  <c:v>-98.0055</c:v>
                </c:pt>
                <c:pt idx="67">
                  <c:v>-97.6006</c:v>
                </c:pt>
                <c:pt idx="68">
                  <c:v>-97.0617</c:v>
                </c:pt>
                <c:pt idx="69">
                  <c:v>-96.5879</c:v>
                </c:pt>
                <c:pt idx="70">
                  <c:v>-95.983</c:v>
                </c:pt>
                <c:pt idx="71">
                  <c:v>-95.3151</c:v>
                </c:pt>
                <c:pt idx="72">
                  <c:v>-94.6177</c:v>
                </c:pt>
                <c:pt idx="73">
                  <c:v>-94.1061</c:v>
                </c:pt>
                <c:pt idx="74">
                  <c:v>-93.2982</c:v>
                </c:pt>
                <c:pt idx="75">
                  <c:v>-92.6953</c:v>
                </c:pt>
                <c:pt idx="76">
                  <c:v>-91.9762</c:v>
                </c:pt>
                <c:pt idx="77">
                  <c:v>-91.4807</c:v>
                </c:pt>
                <c:pt idx="78">
                  <c:v>-90.7524</c:v>
                </c:pt>
                <c:pt idx="79">
                  <c:v>-90.1001</c:v>
                </c:pt>
                <c:pt idx="80">
                  <c:v>-89.2123</c:v>
                </c:pt>
                <c:pt idx="81">
                  <c:v>-88.6175</c:v>
                </c:pt>
                <c:pt idx="82">
                  <c:v>-87.5096</c:v>
                </c:pt>
                <c:pt idx="83">
                  <c:v>-86.9608</c:v>
                </c:pt>
                <c:pt idx="84">
                  <c:v>-86.3221</c:v>
                </c:pt>
                <c:pt idx="85">
                  <c:v>-84.8635</c:v>
                </c:pt>
                <c:pt idx="86">
                  <c:v>-83.7367</c:v>
                </c:pt>
                <c:pt idx="87">
                  <c:v>-82.8388</c:v>
                </c:pt>
                <c:pt idx="88">
                  <c:v>-81.6388</c:v>
                </c:pt>
                <c:pt idx="89">
                  <c:v>-80.5643</c:v>
                </c:pt>
                <c:pt idx="90">
                  <c:v>-79.7274</c:v>
                </c:pt>
                <c:pt idx="91">
                  <c:v>-78.545</c:v>
                </c:pt>
                <c:pt idx="92">
                  <c:v>-77.4756</c:v>
                </c:pt>
                <c:pt idx="93">
                  <c:v>-75.0919</c:v>
                </c:pt>
                <c:pt idx="94">
                  <c:v>-73.4511</c:v>
                </c:pt>
                <c:pt idx="95">
                  <c:v>-72.1818</c:v>
                </c:pt>
                <c:pt idx="96">
                  <c:v>-69.5368</c:v>
                </c:pt>
                <c:pt idx="97">
                  <c:v>-67.1036</c:v>
                </c:pt>
                <c:pt idx="98">
                  <c:v>-64.8539</c:v>
                </c:pt>
                <c:pt idx="99">
                  <c:v>-61.8503</c:v>
                </c:pt>
                <c:pt idx="100">
                  <c:v>-50.5865</c:v>
                </c:pt>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0"/>
          <c:order val="10"/>
          <c:tx>
            <c:strRef>
              <c:f>'[R4-16xxxx_Calibration on NR coexistence study for WP5D_#81_CATTv2_QC_Huawei_NEC_ZTE.xls]Step 4, No.8'!$L$25</c:f>
              <c:strCache>
                <c:ptCount val="1"/>
                <c:pt idx="0">
                  <c:v>Company 11</c:v>
                </c:pt>
              </c:strCache>
            </c:strRef>
          </c:tx>
          <c:spPr>
            <a:ln w="25400" cap="rnd" cmpd="sng" algn="ctr">
              <a:solidFill>
                <a:srgbClr val="33CCCC">
                  <a:alpha val="100000"/>
                </a:srgbClr>
              </a:solidFill>
              <a:prstDash val="solid"/>
              <a:round/>
            </a:ln>
          </c:spPr>
          <c:marker>
            <c:symbol val="none"/>
          </c:marker>
          <c:dLbls>
            <c:delete val="1"/>
          </c:dLbls>
          <c:xVal>
            <c:numRef>
              <c:f>'[R4-16xxxx_Calibration on NR coexistence study for WP5D_#81_CATTv2_QC_Huawei_NEC_ZTE.xls]Step 4, No.8'!$L$27:$L$127</c:f>
              <c:numCache>
                <c:formatCode>General</c:formatCode>
                <c:ptCount val="101"/>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1"/>
          <c:order val="11"/>
          <c:tx>
            <c:strRef>
              <c:f>'[R4-16xxxx_Calibration on NR coexistence study for WP5D_#81_CATTv2_QC_Huawei_NEC_ZTE.xls]Step 4, No.8'!$M$25</c:f>
              <c:strCache>
                <c:ptCount val="1"/>
                <c:pt idx="0">
                  <c:v>Company 12</c:v>
                </c:pt>
              </c:strCache>
            </c:strRef>
          </c:tx>
          <c:spPr>
            <a:ln w="25400" cap="rnd" cmpd="sng" algn="ctr">
              <a:solidFill>
                <a:srgbClr val="FF9900">
                  <a:alpha val="100000"/>
                </a:srgbClr>
              </a:solidFill>
              <a:prstDash val="solid"/>
              <a:round/>
            </a:ln>
          </c:spPr>
          <c:marker>
            <c:symbol val="none"/>
          </c:marker>
          <c:dLbls>
            <c:delete val="1"/>
          </c:dLbls>
          <c:xVal>
            <c:numRef>
              <c:f>'[R4-16xxxx_Calibration on NR coexistence study for WP5D_#81_CATTv2_QC_Huawei_NEC_ZTE.xls]Step 4, No.8'!$M$27:$M$127</c:f>
              <c:numCache>
                <c:formatCode>General</c:formatCode>
                <c:ptCount val="101"/>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2"/>
          <c:order val="12"/>
          <c:tx>
            <c:strRef>
              <c:f>'[R4-16xxxx_Calibration on NR coexistence study for WP5D_#81_CATTv2_QC_Huawei_NEC_ZTE.xls]Step 4, No.8'!$N$25</c:f>
              <c:strCache>
                <c:ptCount val="1"/>
                <c:pt idx="0">
                  <c:v>Company 13</c:v>
                </c:pt>
              </c:strCache>
            </c:strRef>
          </c:tx>
          <c:spPr>
            <a:ln w="25400" cap="rnd" cmpd="sng" algn="ctr">
              <a:solidFill>
                <a:srgbClr val="99CCFF">
                  <a:alpha val="100000"/>
                </a:srgbClr>
              </a:solidFill>
              <a:prstDash val="solid"/>
              <a:round/>
            </a:ln>
          </c:spPr>
          <c:marker>
            <c:symbol val="none"/>
          </c:marker>
          <c:dLbls>
            <c:delete val="1"/>
          </c:dLbls>
          <c:xVal>
            <c:numRef>
              <c:f>'[R4-16xxxx_Calibration on NR coexistence study for WP5D_#81_CATTv2_QC_Huawei_NEC_ZTE.xls]Step 4, No.8'!$N$27:$N$127</c:f>
              <c:numCache>
                <c:formatCode>General</c:formatCode>
                <c:ptCount val="101"/>
              </c:numCache>
            </c:numRef>
          </c:xVal>
          <c:yVal>
            <c:numRef>
              <c:f>'[R4-16xxxx_Calibration on NR coexistence study for WP5D_#81_CATTv2_QC_Huawei_NEC_ZTE.xls]Step 4, No.8'!$A$27:$A$127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dLbls>
          <c:showLegendKey val="0"/>
          <c:showVal val="0"/>
          <c:showCatName val="0"/>
          <c:showSerName val="0"/>
          <c:showPercent val="0"/>
          <c:showBubbleSize val="0"/>
        </c:dLbls>
        <c:axId val="533506598"/>
        <c:axId val="317774434"/>
      </c:scatterChart>
      <c:valAx>
        <c:axId val="533506598"/>
        <c:scaling>
          <c:orientation val="minMax"/>
          <c:max val="-50"/>
          <c:min val="-250"/>
        </c:scaling>
        <c:delete val="0"/>
        <c:axPos val="b"/>
        <c:title>
          <c:tx>
            <c:rich>
              <a:bodyPr rot="0" spcFirstLastPara="0" vertOverflow="ellipsis" vert="horz" wrap="square" anchor="ctr" anchorCtr="1"/>
              <a:lstStyle/>
              <a:p>
                <a:pPr defTabSz="914400">
                  <a:defRPr lang="zh-CN" sz="1000" b="1" i="0" u="none" strike="noStrike" kern="1200" baseline="0">
                    <a:solidFill>
                      <a:srgbClr val="000000">
                        <a:alpha val="100000"/>
                      </a:srgbClr>
                    </a:solidFill>
                    <a:latin typeface="Calibri" panose="020F0502020204030204" pitchFamily="2" charset="0"/>
                    <a:ea typeface="Calibri" panose="020F0502020204030204" pitchFamily="2" charset="0"/>
                    <a:cs typeface="Calibri" panose="020F0502020204030204" pitchFamily="2" charset="0"/>
                  </a:defRPr>
                </a:pPr>
                <a:r>
                  <a:t>Path-loss + BS antenna array gain + UE antenna array gain [dB]</a:t>
                </a:r>
                <a:endParaRPr sz="1000" b="1" i="0" u="none" strike="noStrike" baseline="0">
                  <a:solidFill>
                    <a:srgbClr val="000000">
                      <a:alpha val="100000"/>
                    </a:srgbClr>
                  </a:solidFill>
                  <a:latin typeface="Calibri" panose="020F0502020204030204" pitchFamily="2" charset="0"/>
                  <a:ea typeface="Calibri" panose="020F0502020204030204" pitchFamily="2" charset="0"/>
                  <a:cs typeface="Calibri" panose="020F0502020204030204" pitchFamily="2" charset="0"/>
                </a:endParaRPr>
              </a:p>
            </c:rich>
          </c:tx>
          <c:layout>
            <c:manualLayout>
              <c:xMode val="edge"/>
              <c:yMode val="edge"/>
              <c:x val="0.302655977722719"/>
              <c:y val="0.92307847882651"/>
            </c:manualLayout>
          </c:layout>
          <c:overlay val="0"/>
        </c:title>
        <c:numFmt formatCode="General" sourceLinked="1"/>
        <c:majorTickMark val="out"/>
        <c:minorTickMark val="none"/>
        <c:tickLblPos val="nextTo"/>
        <c:spPr>
          <a:ln w="3175" cap="flat" cmpd="sng" algn="ctr">
            <a:solidFill>
              <a:srgbClr val="808080">
                <a:alpha val="100000"/>
              </a:srgbClr>
            </a:solidFill>
            <a:prstDash val="solid"/>
            <a:round/>
          </a:ln>
        </c:spPr>
        <c:txPr>
          <a:bodyPr rot="0" spcFirstLastPara="0" vertOverflow="ellipsis" vert="horz" wrap="square" anchor="ctr" anchorCtr="1"/>
          <a:lstStyle/>
          <a:p>
            <a:pPr>
              <a:defRPr lang="zh-CN" sz="10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p>
        </c:txPr>
        <c:crossAx val="317774434"/>
        <c:crossesAt val="0"/>
        <c:crossBetween val="midCat"/>
      </c:valAx>
      <c:valAx>
        <c:axId val="317774434"/>
        <c:scaling>
          <c:orientation val="minMax"/>
          <c:max val="100"/>
          <c:min val="0"/>
        </c:scaling>
        <c:delete val="0"/>
        <c:axPos val="l"/>
        <c:majorGridlines>
          <c:spPr>
            <a:ln w="3175" cap="flat" cmpd="sng" algn="ctr">
              <a:solidFill>
                <a:srgbClr val="808080">
                  <a:alpha val="100000"/>
                </a:srgbClr>
              </a:solidFill>
              <a:prstDash val="solid"/>
              <a:round/>
            </a:ln>
          </c:spPr>
        </c:majorGridlines>
        <c:title>
          <c:tx>
            <c:rich>
              <a:bodyPr rot="-5400000" spcFirstLastPara="0" vertOverflow="ellipsis" vert="horz" wrap="square" anchor="ctr" anchorCtr="1"/>
              <a:lstStyle/>
              <a:p>
                <a:pPr defTabSz="914400">
                  <a:defRPr lang="zh-CN" sz="1000" b="1" i="0" u="none" strike="noStrike" kern="1200" baseline="0">
                    <a:solidFill>
                      <a:srgbClr val="000000">
                        <a:alpha val="100000"/>
                      </a:srgbClr>
                    </a:solidFill>
                    <a:latin typeface="Calibri" panose="020F0502020204030204" pitchFamily="2" charset="0"/>
                    <a:ea typeface="Calibri" panose="020F0502020204030204" pitchFamily="2" charset="0"/>
                    <a:cs typeface="Calibri" panose="020F0502020204030204" pitchFamily="2" charset="0"/>
                  </a:defRPr>
                </a:pPr>
                <a:r>
                  <a:t>CDF [%]</a:t>
                </a:r>
                <a:endParaRPr sz="1000" b="1" i="0" u="none" strike="noStrike" baseline="0">
                  <a:solidFill>
                    <a:srgbClr val="000000">
                      <a:alpha val="100000"/>
                    </a:srgbClr>
                  </a:solidFill>
                  <a:latin typeface="Calibri" panose="020F0502020204030204" pitchFamily="2" charset="0"/>
                  <a:ea typeface="Calibri" panose="020F0502020204030204" pitchFamily="2" charset="0"/>
                  <a:cs typeface="Calibri" panose="020F0502020204030204" pitchFamily="2" charset="0"/>
                </a:endParaRPr>
              </a:p>
            </c:rich>
          </c:tx>
          <c:layout>
            <c:manualLayout>
              <c:xMode val="edge"/>
              <c:yMode val="edge"/>
              <c:x val="0.0203829340113375"/>
              <c:y val="0.39720353137676"/>
            </c:manualLayout>
          </c:layout>
          <c:overlay val="0"/>
        </c:title>
        <c:numFmt formatCode="General" sourceLinked="1"/>
        <c:majorTickMark val="out"/>
        <c:minorTickMark val="none"/>
        <c:tickLblPos val="nextTo"/>
        <c:spPr>
          <a:ln w="3175" cap="flat" cmpd="sng" algn="ctr">
            <a:solidFill>
              <a:srgbClr val="808080">
                <a:alpha val="100000"/>
              </a:srgbClr>
            </a:solidFill>
            <a:prstDash val="solid"/>
            <a:round/>
          </a:ln>
        </c:spPr>
        <c:txPr>
          <a:bodyPr rot="0" spcFirstLastPara="0" vertOverflow="ellipsis" vert="horz" wrap="square" anchor="ctr" anchorCtr="1"/>
          <a:lstStyle/>
          <a:p>
            <a:pPr>
              <a:defRPr lang="zh-CN" sz="1000" b="0" i="0" u="none" strike="noStrike" kern="1200" baseline="0">
                <a:solidFill>
                  <a:srgbClr val="000000">
                    <a:alpha val="100000"/>
                  </a:srgbClr>
                </a:solidFill>
                <a:latin typeface="Calibri" panose="020F0502020204030204" pitchFamily="2" charset="0"/>
                <a:ea typeface="Calibri" panose="020F0502020204030204" pitchFamily="2" charset="0"/>
                <a:cs typeface="Calibri" panose="020F0502020204030204" pitchFamily="2" charset="0"/>
              </a:defRPr>
            </a:pPr>
          </a:p>
        </c:txPr>
        <c:crossAx val="533506598"/>
        <c:crossesAt val="-250"/>
        <c:crossBetween val="midCat"/>
      </c:valAx>
      <c:spPr>
        <a:solidFill>
          <a:srgbClr val="FFFFFF">
            <a:alpha val="100000"/>
          </a:srgbClr>
        </a:solidFill>
        <a:ln w="3175">
          <a:noFill/>
        </a:ln>
      </c:spPr>
    </c:plotArea>
    <c:legend>
      <c:legendPos val="r"/>
      <c:layout>
        <c:manualLayout>
          <c:xMode val="edge"/>
          <c:yMode val="edge"/>
          <c:x val="0.88475"/>
          <c:y val="0.192"/>
          <c:w val="0.106447187928669"/>
          <c:h val="0.607631389488841"/>
        </c:manualLayout>
      </c:layout>
      <c:overlay val="0"/>
      <c:spPr>
        <a:noFill/>
        <a:ln w="3175">
          <a:noFill/>
        </a:ln>
      </c:spPr>
      <c:txPr>
        <a:bodyPr rot="0" spcFirstLastPara="0" vertOverflow="ellipsis" vert="horz" wrap="square" anchor="ctr" anchorCtr="1"/>
        <a:lstStyle/>
        <a:p>
          <a:pPr>
            <a:defRPr lang="zh-CN" sz="500" b="0" i="0" u="none" strike="noStrike" kern="1200" baseline="0">
              <a:solidFill>
                <a:srgbClr val="000000"/>
              </a:solidFill>
              <a:latin typeface="Calibri" panose="020F0502020204030204"/>
              <a:ea typeface="Calibri" panose="020F0502020204030204"/>
              <a:cs typeface="Calibri" panose="020F0502020204030204"/>
            </a:defRPr>
          </a:pPr>
        </a:p>
      </c:txPr>
    </c:legend>
    <c:plotVisOnly val="1"/>
    <c:dispBlanksAs val="gap"/>
    <c:showDLblsOverMax val="0"/>
  </c:chart>
  <c:spPr>
    <a:solidFill>
      <a:srgbClr val="FFFFFF">
        <a:alpha val="100000"/>
      </a:srgbClr>
    </a:solidFill>
    <a:ln w="3175" cap="flat" cmpd="sng" algn="ctr">
      <a:solidFill>
        <a:srgbClr val="808080">
          <a:alpha val="100000"/>
        </a:srgbClr>
      </a:solidFill>
      <a:prstDash val="solid"/>
      <a:round/>
    </a:ln>
  </c:spPr>
  <c:txPr>
    <a:bodyPr rot="0" wrap="square" anchor="ctr" anchorCtr="1"/>
    <a:lstStyle/>
    <a:p>
      <a:pPr>
        <a:defRPr lang="zh-CN" sz="1100" b="0" i="0" u="none" strike="noStrike" baseline="0">
          <a:solidFill>
            <a:srgbClr val="000000">
              <a:alpha val="100000"/>
            </a:srgbClr>
          </a:solidFill>
          <a:latin typeface="宋体" panose="02010600030101010101" charset="-122"/>
          <a:ea typeface="宋体" panose="02010600030101010101" charset="-122"/>
          <a:cs typeface="宋体" panose="02010600030101010101"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741470291399004"/>
          <c:y val="0.0510204928991498"/>
          <c:w val="0.786745910962306"/>
          <c:h val="0.787416273743546"/>
        </c:manualLayout>
      </c:layout>
      <c:scatterChart>
        <c:scatterStyle val="line"/>
        <c:varyColors val="0"/>
        <c:ser>
          <c:idx val="0"/>
          <c:order val="0"/>
          <c:tx>
            <c:strRef>
              <c:f>'[R4-16xxxx_Calibration on NR coexistence study for WP5D_#81_CATTv2_QC_Huawei_NEC_ZTE.xls]Step 1, No.1'!$B$25</c:f>
              <c:strCache>
                <c:ptCount val="1"/>
                <c:pt idx="0">
                  <c:v>NEC</c:v>
                </c:pt>
              </c:strCache>
            </c:strRef>
          </c:tx>
          <c:spPr>
            <a:ln w="25400" cap="rnd" cmpd="sng" algn="ctr">
              <a:solidFill>
                <a:srgbClr val="666699">
                  <a:alpha val="100000"/>
                </a:srgbClr>
              </a:solidFill>
              <a:prstDash val="solid"/>
              <a:round/>
            </a:ln>
          </c:spPr>
          <c:marker>
            <c:symbol val="none"/>
          </c:marker>
          <c:dLbls>
            <c:delete val="1"/>
          </c:dLbls>
          <c:xVal>
            <c:numRef>
              <c:f>'[R4-16xxxx_Calibration on NR coexistence study for WP5D_#81_CATTv2_QC_Huawei_NEC_ZTE.xls]Step 1, No.1'!$B$27:$B$127</c:f>
              <c:numCache>
                <c:formatCode>General</c:formatCode>
                <c:ptCount val="101"/>
                <c:pt idx="0">
                  <c:v>-99.887</c:v>
                </c:pt>
                <c:pt idx="1">
                  <c:v>-88.8789</c:v>
                </c:pt>
                <c:pt idx="2">
                  <c:v>-88.1876</c:v>
                </c:pt>
                <c:pt idx="3">
                  <c:v>-87.1837</c:v>
                </c:pt>
                <c:pt idx="4">
                  <c:v>-86.4852</c:v>
                </c:pt>
                <c:pt idx="5">
                  <c:v>-85.7498</c:v>
                </c:pt>
                <c:pt idx="6">
                  <c:v>-84.9748</c:v>
                </c:pt>
                <c:pt idx="7">
                  <c:v>-84.5758</c:v>
                </c:pt>
                <c:pt idx="8">
                  <c:v>-84.3094</c:v>
                </c:pt>
                <c:pt idx="9">
                  <c:v>-83.9981</c:v>
                </c:pt>
                <c:pt idx="10">
                  <c:v>-83.8233</c:v>
                </c:pt>
                <c:pt idx="11">
                  <c:v>-83.6516</c:v>
                </c:pt>
                <c:pt idx="12">
                  <c:v>-83.4242</c:v>
                </c:pt>
                <c:pt idx="13">
                  <c:v>-83.2425</c:v>
                </c:pt>
                <c:pt idx="14">
                  <c:v>-83.0799</c:v>
                </c:pt>
                <c:pt idx="15">
                  <c:v>-82.8994</c:v>
                </c:pt>
                <c:pt idx="16">
                  <c:v>-82.7208</c:v>
                </c:pt>
                <c:pt idx="17">
                  <c:v>-82.5206</c:v>
                </c:pt>
                <c:pt idx="18">
                  <c:v>-82.3731</c:v>
                </c:pt>
                <c:pt idx="19">
                  <c:v>-82.2566</c:v>
                </c:pt>
                <c:pt idx="20">
                  <c:v>-82.1466</c:v>
                </c:pt>
                <c:pt idx="21">
                  <c:v>-82.0367</c:v>
                </c:pt>
                <c:pt idx="22">
                  <c:v>-81.9116</c:v>
                </c:pt>
                <c:pt idx="23">
                  <c:v>-81.7939</c:v>
                </c:pt>
                <c:pt idx="24">
                  <c:v>-81.6951</c:v>
                </c:pt>
                <c:pt idx="25">
                  <c:v>-81.5901</c:v>
                </c:pt>
                <c:pt idx="26">
                  <c:v>-81.4933</c:v>
                </c:pt>
                <c:pt idx="27">
                  <c:v>-81.4034</c:v>
                </c:pt>
                <c:pt idx="28">
                  <c:v>-81.3207</c:v>
                </c:pt>
                <c:pt idx="29">
                  <c:v>-81.2268</c:v>
                </c:pt>
                <c:pt idx="30">
                  <c:v>-81.1264</c:v>
                </c:pt>
                <c:pt idx="31">
                  <c:v>-81.0278</c:v>
                </c:pt>
                <c:pt idx="32">
                  <c:v>-80.9357</c:v>
                </c:pt>
                <c:pt idx="33">
                  <c:v>-80.8297</c:v>
                </c:pt>
                <c:pt idx="34">
                  <c:v>-80.742</c:v>
                </c:pt>
                <c:pt idx="35">
                  <c:v>-80.6637</c:v>
                </c:pt>
                <c:pt idx="36">
                  <c:v>-80.5659</c:v>
                </c:pt>
                <c:pt idx="37">
                  <c:v>-80.4566</c:v>
                </c:pt>
                <c:pt idx="38">
                  <c:v>-80.3461</c:v>
                </c:pt>
                <c:pt idx="39">
                  <c:v>-80.2489</c:v>
                </c:pt>
                <c:pt idx="40">
                  <c:v>-80.149</c:v>
                </c:pt>
                <c:pt idx="41">
                  <c:v>-80.0378</c:v>
                </c:pt>
                <c:pt idx="42">
                  <c:v>-79.9195</c:v>
                </c:pt>
                <c:pt idx="43">
                  <c:v>-79.8199</c:v>
                </c:pt>
                <c:pt idx="44">
                  <c:v>-79.7157</c:v>
                </c:pt>
                <c:pt idx="45">
                  <c:v>-79.6076</c:v>
                </c:pt>
                <c:pt idx="46">
                  <c:v>-79.4981</c:v>
                </c:pt>
                <c:pt idx="47">
                  <c:v>-79.4098</c:v>
                </c:pt>
                <c:pt idx="48">
                  <c:v>-79.3167</c:v>
                </c:pt>
                <c:pt idx="49">
                  <c:v>-79.2186</c:v>
                </c:pt>
                <c:pt idx="50">
                  <c:v>-79.1345</c:v>
                </c:pt>
                <c:pt idx="51">
                  <c:v>-79.0209</c:v>
                </c:pt>
                <c:pt idx="52">
                  <c:v>-78.9426</c:v>
                </c:pt>
                <c:pt idx="53">
                  <c:v>-78.8484</c:v>
                </c:pt>
                <c:pt idx="54">
                  <c:v>-78.7336</c:v>
                </c:pt>
                <c:pt idx="55">
                  <c:v>-78.6262</c:v>
                </c:pt>
                <c:pt idx="56">
                  <c:v>-78.5016</c:v>
                </c:pt>
                <c:pt idx="57">
                  <c:v>-78.4006</c:v>
                </c:pt>
                <c:pt idx="58">
                  <c:v>-78.2933</c:v>
                </c:pt>
                <c:pt idx="59">
                  <c:v>-78.1851</c:v>
                </c:pt>
                <c:pt idx="60">
                  <c:v>-78.0845</c:v>
                </c:pt>
                <c:pt idx="61">
                  <c:v>-77.9643</c:v>
                </c:pt>
                <c:pt idx="62">
                  <c:v>-77.8375</c:v>
                </c:pt>
                <c:pt idx="63">
                  <c:v>-77.6874</c:v>
                </c:pt>
                <c:pt idx="64">
                  <c:v>-77.5838</c:v>
                </c:pt>
                <c:pt idx="65">
                  <c:v>-77.4545</c:v>
                </c:pt>
                <c:pt idx="66">
                  <c:v>-77.3296</c:v>
                </c:pt>
                <c:pt idx="67">
                  <c:v>-77.1949</c:v>
                </c:pt>
                <c:pt idx="68">
                  <c:v>-77.0622</c:v>
                </c:pt>
                <c:pt idx="69">
                  <c:v>-76.9612</c:v>
                </c:pt>
                <c:pt idx="70">
                  <c:v>-76.8348</c:v>
                </c:pt>
                <c:pt idx="71">
                  <c:v>-76.7084</c:v>
                </c:pt>
                <c:pt idx="72">
                  <c:v>-76.5812</c:v>
                </c:pt>
                <c:pt idx="73">
                  <c:v>-76.4554</c:v>
                </c:pt>
                <c:pt idx="74">
                  <c:v>-76.3214</c:v>
                </c:pt>
                <c:pt idx="75">
                  <c:v>-76.1725</c:v>
                </c:pt>
                <c:pt idx="76">
                  <c:v>-76.018</c:v>
                </c:pt>
                <c:pt idx="77">
                  <c:v>-75.8454</c:v>
                </c:pt>
                <c:pt idx="78">
                  <c:v>-75.66</c:v>
                </c:pt>
                <c:pt idx="79">
                  <c:v>-75.4999</c:v>
                </c:pt>
                <c:pt idx="80">
                  <c:v>-75.2989</c:v>
                </c:pt>
                <c:pt idx="81">
                  <c:v>-75.1198</c:v>
                </c:pt>
                <c:pt idx="82">
                  <c:v>-74.9215</c:v>
                </c:pt>
                <c:pt idx="83">
                  <c:v>-74.7139</c:v>
                </c:pt>
                <c:pt idx="84">
                  <c:v>-74.4698</c:v>
                </c:pt>
                <c:pt idx="85">
                  <c:v>-74.2226</c:v>
                </c:pt>
                <c:pt idx="86">
                  <c:v>-73.968</c:v>
                </c:pt>
                <c:pt idx="87">
                  <c:v>-73.7534</c:v>
                </c:pt>
                <c:pt idx="88">
                  <c:v>-73.5129</c:v>
                </c:pt>
                <c:pt idx="89">
                  <c:v>-73.257</c:v>
                </c:pt>
                <c:pt idx="90">
                  <c:v>-72.9915</c:v>
                </c:pt>
                <c:pt idx="91">
                  <c:v>-72.6689</c:v>
                </c:pt>
                <c:pt idx="92">
                  <c:v>-72.3672</c:v>
                </c:pt>
                <c:pt idx="93">
                  <c:v>-71.9668</c:v>
                </c:pt>
                <c:pt idx="94">
                  <c:v>-71.5037</c:v>
                </c:pt>
                <c:pt idx="95">
                  <c:v>-71.0962</c:v>
                </c:pt>
                <c:pt idx="96">
                  <c:v>-70.6175</c:v>
                </c:pt>
                <c:pt idx="97">
                  <c:v>-69.8984</c:v>
                </c:pt>
                <c:pt idx="98">
                  <c:v>-69.155</c:v>
                </c:pt>
                <c:pt idx="99">
                  <c:v>-68.2866</c:v>
                </c:pt>
                <c:pt idx="100">
                  <c:v>-67.1829</c:v>
                </c:pt>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
          <c:order val="1"/>
          <c:tx>
            <c:strRef>
              <c:f>'[R4-16xxxx_Calibration on NR coexistence study for WP5D_#81_CATTv2_QC_Huawei_NEC_ZTE.xls]Step 1, No.1'!$C$25</c:f>
              <c:strCache>
                <c:ptCount val="1"/>
                <c:pt idx="0">
                  <c:v>Qualcomm</c:v>
                </c:pt>
              </c:strCache>
            </c:strRef>
          </c:tx>
          <c:spPr>
            <a:ln w="25400" cap="rnd" cmpd="sng" algn="ctr">
              <a:solidFill>
                <a:srgbClr val="993366">
                  <a:alpha val="100000"/>
                </a:srgbClr>
              </a:solidFill>
              <a:prstDash val="solid"/>
              <a:round/>
            </a:ln>
          </c:spPr>
          <c:marker>
            <c:symbol val="none"/>
          </c:marker>
          <c:dLbls>
            <c:delete val="1"/>
          </c:dLbls>
          <c:xVal>
            <c:numRef>
              <c:f>'[R4-16xxxx_Calibration on NR coexistence study for WP5D_#81_CATTv2_QC_Huawei_NEC_ZTE.xls]Step 1, No.1'!$C$27:$C$127</c:f>
              <c:numCache>
                <c:formatCode>General</c:formatCode>
                <c:ptCount val="101"/>
                <c:pt idx="0">
                  <c:v>-89.2461</c:v>
                </c:pt>
                <c:pt idx="1">
                  <c:v>-84.1106</c:v>
                </c:pt>
                <c:pt idx="2">
                  <c:v>-83.2785</c:v>
                </c:pt>
                <c:pt idx="3">
                  <c:v>-82.7461</c:v>
                </c:pt>
                <c:pt idx="4">
                  <c:v>-82.335</c:v>
                </c:pt>
                <c:pt idx="5">
                  <c:v>-82.008</c:v>
                </c:pt>
                <c:pt idx="6">
                  <c:v>-81.6868</c:v>
                </c:pt>
                <c:pt idx="7">
                  <c:v>-81.4523</c:v>
                </c:pt>
                <c:pt idx="8">
                  <c:v>-81.2225</c:v>
                </c:pt>
                <c:pt idx="9">
                  <c:v>-81.0366</c:v>
                </c:pt>
                <c:pt idx="10">
                  <c:v>-80.8506</c:v>
                </c:pt>
                <c:pt idx="11">
                  <c:v>-80.6756</c:v>
                </c:pt>
                <c:pt idx="12">
                  <c:v>-80.5124</c:v>
                </c:pt>
                <c:pt idx="13">
                  <c:v>-80.3513</c:v>
                </c:pt>
                <c:pt idx="14">
                  <c:v>-80.1995</c:v>
                </c:pt>
                <c:pt idx="15">
                  <c:v>-80.0401</c:v>
                </c:pt>
                <c:pt idx="16">
                  <c:v>-79.896</c:v>
                </c:pt>
                <c:pt idx="17">
                  <c:v>-79.7653</c:v>
                </c:pt>
                <c:pt idx="18">
                  <c:v>-79.6396</c:v>
                </c:pt>
                <c:pt idx="19">
                  <c:v>-79.5226</c:v>
                </c:pt>
                <c:pt idx="20">
                  <c:v>-79.394</c:v>
                </c:pt>
                <c:pt idx="21">
                  <c:v>-79.2668</c:v>
                </c:pt>
                <c:pt idx="22">
                  <c:v>-79.1417</c:v>
                </c:pt>
                <c:pt idx="23">
                  <c:v>-79.0269</c:v>
                </c:pt>
                <c:pt idx="24">
                  <c:v>-78.9155</c:v>
                </c:pt>
                <c:pt idx="25">
                  <c:v>-78.8138</c:v>
                </c:pt>
                <c:pt idx="26">
                  <c:v>-78.7036</c:v>
                </c:pt>
                <c:pt idx="27">
                  <c:v>-78.6059</c:v>
                </c:pt>
                <c:pt idx="28">
                  <c:v>-78.4963</c:v>
                </c:pt>
                <c:pt idx="29">
                  <c:v>-78.3928</c:v>
                </c:pt>
                <c:pt idx="30">
                  <c:v>-78.2901</c:v>
                </c:pt>
                <c:pt idx="31">
                  <c:v>-78.182</c:v>
                </c:pt>
                <c:pt idx="32">
                  <c:v>-78.082</c:v>
                </c:pt>
                <c:pt idx="33">
                  <c:v>-77.9747</c:v>
                </c:pt>
                <c:pt idx="34">
                  <c:v>-77.8697</c:v>
                </c:pt>
                <c:pt idx="35">
                  <c:v>-77.7719</c:v>
                </c:pt>
                <c:pt idx="36">
                  <c:v>-77.6673</c:v>
                </c:pt>
                <c:pt idx="37">
                  <c:v>-77.5696</c:v>
                </c:pt>
                <c:pt idx="38">
                  <c:v>-77.4699</c:v>
                </c:pt>
                <c:pt idx="39">
                  <c:v>-77.3725</c:v>
                </c:pt>
                <c:pt idx="40">
                  <c:v>-77.2733</c:v>
                </c:pt>
                <c:pt idx="41">
                  <c:v>-77.1659</c:v>
                </c:pt>
                <c:pt idx="42">
                  <c:v>-77.0633</c:v>
                </c:pt>
                <c:pt idx="43">
                  <c:v>-76.9592</c:v>
                </c:pt>
                <c:pt idx="44">
                  <c:v>-76.8663</c:v>
                </c:pt>
                <c:pt idx="45">
                  <c:v>-76.7652</c:v>
                </c:pt>
                <c:pt idx="46">
                  <c:v>-76.6648</c:v>
                </c:pt>
                <c:pt idx="47">
                  <c:v>-76.5739</c:v>
                </c:pt>
                <c:pt idx="48">
                  <c:v>-76.4691</c:v>
                </c:pt>
                <c:pt idx="49">
                  <c:v>-76.3589</c:v>
                </c:pt>
                <c:pt idx="50">
                  <c:v>-76.2551</c:v>
                </c:pt>
                <c:pt idx="51">
                  <c:v>-76.1562</c:v>
                </c:pt>
                <c:pt idx="52">
                  <c:v>-76.0579</c:v>
                </c:pt>
                <c:pt idx="53">
                  <c:v>-75.9602</c:v>
                </c:pt>
                <c:pt idx="54">
                  <c:v>-75.8558</c:v>
                </c:pt>
                <c:pt idx="55">
                  <c:v>-75.7544</c:v>
                </c:pt>
                <c:pt idx="56">
                  <c:v>-75.6547</c:v>
                </c:pt>
                <c:pt idx="57">
                  <c:v>-75.5488</c:v>
                </c:pt>
                <c:pt idx="58">
                  <c:v>-75.4381</c:v>
                </c:pt>
                <c:pt idx="59">
                  <c:v>-75.329</c:v>
                </c:pt>
                <c:pt idx="60">
                  <c:v>-75.219</c:v>
                </c:pt>
                <c:pt idx="61">
                  <c:v>-75.1126</c:v>
                </c:pt>
                <c:pt idx="62">
                  <c:v>-75.0116</c:v>
                </c:pt>
                <c:pt idx="63">
                  <c:v>-74.896</c:v>
                </c:pt>
                <c:pt idx="64">
                  <c:v>-74.7727</c:v>
                </c:pt>
                <c:pt idx="65">
                  <c:v>-74.6618</c:v>
                </c:pt>
                <c:pt idx="66">
                  <c:v>-74.5306</c:v>
                </c:pt>
                <c:pt idx="67">
                  <c:v>-74.4108</c:v>
                </c:pt>
                <c:pt idx="68">
                  <c:v>-74.2877</c:v>
                </c:pt>
                <c:pt idx="69">
                  <c:v>-74.1576</c:v>
                </c:pt>
                <c:pt idx="70">
                  <c:v>-74.0341</c:v>
                </c:pt>
                <c:pt idx="71">
                  <c:v>-73.9066</c:v>
                </c:pt>
                <c:pt idx="72">
                  <c:v>-73.7818</c:v>
                </c:pt>
                <c:pt idx="73">
                  <c:v>-73.6411</c:v>
                </c:pt>
                <c:pt idx="74">
                  <c:v>-73.5148</c:v>
                </c:pt>
                <c:pt idx="75">
                  <c:v>-73.3774</c:v>
                </c:pt>
                <c:pt idx="76">
                  <c:v>-73.2357</c:v>
                </c:pt>
                <c:pt idx="77">
                  <c:v>-73.0904</c:v>
                </c:pt>
                <c:pt idx="78">
                  <c:v>-72.9403</c:v>
                </c:pt>
                <c:pt idx="79">
                  <c:v>-72.7831</c:v>
                </c:pt>
                <c:pt idx="80">
                  <c:v>-72.6059</c:v>
                </c:pt>
                <c:pt idx="81">
                  <c:v>-72.4226</c:v>
                </c:pt>
                <c:pt idx="82">
                  <c:v>-72.2307</c:v>
                </c:pt>
                <c:pt idx="83">
                  <c:v>-72.0388</c:v>
                </c:pt>
                <c:pt idx="84">
                  <c:v>-71.8281</c:v>
                </c:pt>
                <c:pt idx="85">
                  <c:v>-71.619</c:v>
                </c:pt>
                <c:pt idx="86">
                  <c:v>-71.422</c:v>
                </c:pt>
                <c:pt idx="87">
                  <c:v>-71.1787</c:v>
                </c:pt>
                <c:pt idx="88">
                  <c:v>-70.9424</c:v>
                </c:pt>
                <c:pt idx="89">
                  <c:v>-70.6605</c:v>
                </c:pt>
                <c:pt idx="90">
                  <c:v>-70.3529</c:v>
                </c:pt>
                <c:pt idx="91">
                  <c:v>-70.0232</c:v>
                </c:pt>
                <c:pt idx="92">
                  <c:v>-69.6761</c:v>
                </c:pt>
                <c:pt idx="93">
                  <c:v>-69.297</c:v>
                </c:pt>
                <c:pt idx="94">
                  <c:v>-68.851</c:v>
                </c:pt>
                <c:pt idx="95">
                  <c:v>-68.3685</c:v>
                </c:pt>
                <c:pt idx="96">
                  <c:v>-67.8063</c:v>
                </c:pt>
                <c:pt idx="97">
                  <c:v>-67.1108</c:v>
                </c:pt>
                <c:pt idx="98">
                  <c:v>-66.2856</c:v>
                </c:pt>
                <c:pt idx="99">
                  <c:v>-64.9058</c:v>
                </c:pt>
                <c:pt idx="100">
                  <c:v>-56.4791</c:v>
                </c:pt>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2"/>
          <c:order val="2"/>
          <c:tx>
            <c:strRef>
              <c:f>'[R4-16xxxx_Calibration on NR coexistence study for WP5D_#81_CATTv2_QC_Huawei_NEC_ZTE.xls]Step 1, No.1'!$D$25</c:f>
              <c:strCache>
                <c:ptCount val="1"/>
                <c:pt idx="0">
                  <c:v>ZTE</c:v>
                </c:pt>
              </c:strCache>
            </c:strRef>
          </c:tx>
          <c:spPr>
            <a:ln w="25400" cap="rnd" cmpd="sng" algn="ctr">
              <a:solidFill>
                <a:srgbClr val="808000">
                  <a:alpha val="100000"/>
                </a:srgbClr>
              </a:solidFill>
              <a:prstDash val="solid"/>
              <a:round/>
            </a:ln>
          </c:spPr>
          <c:marker>
            <c:symbol val="none"/>
          </c:marker>
          <c:dLbls>
            <c:delete val="1"/>
          </c:dLbls>
          <c:xVal>
            <c:numRef>
              <c:f>'[R4-16xxxx_Calibration on NR coexistence study for WP5D_#81_CATTv2_QC_Huawei_NEC_ZTE.xls]Step 1, No.1'!$D$27:$D$127</c:f>
              <c:numCache>
                <c:formatCode>General</c:formatCode>
                <c:ptCount val="101"/>
                <c:pt idx="0">
                  <c:v>-90.3406806908935</c:v>
                </c:pt>
                <c:pt idx="1">
                  <c:v>-86.6027949268071</c:v>
                </c:pt>
                <c:pt idx="2">
                  <c:v>-85.7285227644764</c:v>
                </c:pt>
                <c:pt idx="3">
                  <c:v>-85.035626044646</c:v>
                </c:pt>
                <c:pt idx="4">
                  <c:v>-84.6094792413877</c:v>
                </c:pt>
                <c:pt idx="5">
                  <c:v>-84.2615780711396</c:v>
                </c:pt>
                <c:pt idx="6">
                  <c:v>-83.939024480816</c:v>
                </c:pt>
                <c:pt idx="7">
                  <c:v>-83.6206715515115</c:v>
                </c:pt>
                <c:pt idx="8">
                  <c:v>-83.4274020347231</c:v>
                </c:pt>
                <c:pt idx="9">
                  <c:v>-83.2254390875758</c:v>
                </c:pt>
                <c:pt idx="10">
                  <c:v>-83.0293046050095</c:v>
                </c:pt>
                <c:pt idx="11">
                  <c:v>-82.8969621846252</c:v>
                </c:pt>
                <c:pt idx="12">
                  <c:v>-82.7394527068539</c:v>
                </c:pt>
                <c:pt idx="13">
                  <c:v>-82.5765179144997</c:v>
                </c:pt>
                <c:pt idx="14">
                  <c:v>-82.4286974765459</c:v>
                </c:pt>
                <c:pt idx="15">
                  <c:v>-82.2783086948769</c:v>
                </c:pt>
                <c:pt idx="16">
                  <c:v>-82.1650434734213</c:v>
                </c:pt>
                <c:pt idx="17">
                  <c:v>-82.0478291325681</c:v>
                </c:pt>
                <c:pt idx="18">
                  <c:v>-81.8660734756967</c:v>
                </c:pt>
                <c:pt idx="19">
                  <c:v>-81.7422642522009</c:v>
                </c:pt>
                <c:pt idx="20">
                  <c:v>-81.6109269012852</c:v>
                </c:pt>
                <c:pt idx="21">
                  <c:v>-81.5188657318164</c:v>
                </c:pt>
                <c:pt idx="22">
                  <c:v>-81.388635691859</c:v>
                </c:pt>
                <c:pt idx="23">
                  <c:v>-81.2932296607312</c:v>
                </c:pt>
                <c:pt idx="24">
                  <c:v>-81.2075823019398</c:v>
                </c:pt>
                <c:pt idx="25">
                  <c:v>-81.0876854832321</c:v>
                </c:pt>
                <c:pt idx="26">
                  <c:v>-80.9552458042077</c:v>
                </c:pt>
                <c:pt idx="27">
                  <c:v>-80.8709821556292</c:v>
                </c:pt>
                <c:pt idx="28">
                  <c:v>-80.7735552017892</c:v>
                </c:pt>
                <c:pt idx="29">
                  <c:v>-80.6695138096604</c:v>
                </c:pt>
                <c:pt idx="30">
                  <c:v>-80.5535625520836</c:v>
                </c:pt>
                <c:pt idx="31">
                  <c:v>-80.4453496888005</c:v>
                </c:pt>
                <c:pt idx="32">
                  <c:v>-80.3213979402519</c:v>
                </c:pt>
                <c:pt idx="33">
                  <c:v>-80.2374970521184</c:v>
                </c:pt>
                <c:pt idx="34">
                  <c:v>-80.1574654183233</c:v>
                </c:pt>
                <c:pt idx="35">
                  <c:v>-80.0907821471661</c:v>
                </c:pt>
                <c:pt idx="36">
                  <c:v>-80.0142275029327</c:v>
                </c:pt>
                <c:pt idx="37">
                  <c:v>-79.9071772647679</c:v>
                </c:pt>
                <c:pt idx="38">
                  <c:v>-79.8258403654574</c:v>
                </c:pt>
                <c:pt idx="39">
                  <c:v>-79.7365725298947</c:v>
                </c:pt>
                <c:pt idx="40">
                  <c:v>-79.6610439139493</c:v>
                </c:pt>
                <c:pt idx="41">
                  <c:v>-79.5643883659791</c:v>
                </c:pt>
                <c:pt idx="42">
                  <c:v>-79.4800931459351</c:v>
                </c:pt>
                <c:pt idx="43">
                  <c:v>-79.3978554769816</c:v>
                </c:pt>
                <c:pt idx="44">
                  <c:v>-79.3036991706989</c:v>
                </c:pt>
                <c:pt idx="45">
                  <c:v>-79.2120139512365</c:v>
                </c:pt>
                <c:pt idx="46">
                  <c:v>-79.1510838188449</c:v>
                </c:pt>
                <c:pt idx="47">
                  <c:v>-79.0533729607042</c:v>
                </c:pt>
                <c:pt idx="48">
                  <c:v>-78.9569126052159</c:v>
                </c:pt>
                <c:pt idx="49">
                  <c:v>-78.8512278057163</c:v>
                </c:pt>
                <c:pt idx="50">
                  <c:v>-78.7564510506985</c:v>
                </c:pt>
                <c:pt idx="51">
                  <c:v>-78.664098748651</c:v>
                </c:pt>
                <c:pt idx="52">
                  <c:v>-78.568967748886</c:v>
                </c:pt>
                <c:pt idx="53">
                  <c:v>-78.476570116412</c:v>
                </c:pt>
                <c:pt idx="54">
                  <c:v>-78.3641885535652</c:v>
                </c:pt>
                <c:pt idx="55">
                  <c:v>-78.2745799359684</c:v>
                </c:pt>
                <c:pt idx="56">
                  <c:v>-78.1570360893515</c:v>
                </c:pt>
                <c:pt idx="57">
                  <c:v>-78.0538461467996</c:v>
                </c:pt>
                <c:pt idx="58">
                  <c:v>-77.9658369458847</c:v>
                </c:pt>
                <c:pt idx="59">
                  <c:v>-77.9032469597794</c:v>
                </c:pt>
                <c:pt idx="60">
                  <c:v>-77.807424118872</c:v>
                </c:pt>
                <c:pt idx="61">
                  <c:v>-77.7180331299838</c:v>
                </c:pt>
                <c:pt idx="62">
                  <c:v>-77.6424202315142</c:v>
                </c:pt>
                <c:pt idx="63">
                  <c:v>-77.5236967668918</c:v>
                </c:pt>
                <c:pt idx="64">
                  <c:v>-77.4286308777196</c:v>
                </c:pt>
                <c:pt idx="65">
                  <c:v>-77.2934391453137</c:v>
                </c:pt>
                <c:pt idx="66">
                  <c:v>-77.1838371724931</c:v>
                </c:pt>
                <c:pt idx="67">
                  <c:v>-77.0981348070766</c:v>
                </c:pt>
                <c:pt idx="68">
                  <c:v>-76.9752681990669</c:v>
                </c:pt>
                <c:pt idx="69">
                  <c:v>-76.8688872223664</c:v>
                </c:pt>
                <c:pt idx="70">
                  <c:v>-76.7603056819668</c:v>
                </c:pt>
                <c:pt idx="71">
                  <c:v>-76.6340379794476</c:v>
                </c:pt>
                <c:pt idx="72">
                  <c:v>-76.5175169856252</c:v>
                </c:pt>
                <c:pt idx="73">
                  <c:v>-76.4017934056155</c:v>
                </c:pt>
                <c:pt idx="74">
                  <c:v>-76.245776808313</c:v>
                </c:pt>
                <c:pt idx="75">
                  <c:v>-76.1046550526228</c:v>
                </c:pt>
                <c:pt idx="76">
                  <c:v>-75.9941373255264</c:v>
                </c:pt>
                <c:pt idx="77">
                  <c:v>-75.8648486334539</c:v>
                </c:pt>
                <c:pt idx="78">
                  <c:v>-75.7311263190011</c:v>
                </c:pt>
                <c:pt idx="79">
                  <c:v>-75.5748878740101</c:v>
                </c:pt>
                <c:pt idx="80">
                  <c:v>-75.4369710414186</c:v>
                </c:pt>
                <c:pt idx="81">
                  <c:v>-75.2748770677069</c:v>
                </c:pt>
                <c:pt idx="82">
                  <c:v>-75.0690576291776</c:v>
                </c:pt>
                <c:pt idx="83">
                  <c:v>-74.8814408007959</c:v>
                </c:pt>
                <c:pt idx="84">
                  <c:v>-74.6435265760017</c:v>
                </c:pt>
                <c:pt idx="85">
                  <c:v>-74.397944087937</c:v>
                </c:pt>
                <c:pt idx="86">
                  <c:v>-74.2178726155563</c:v>
                </c:pt>
                <c:pt idx="87">
                  <c:v>-73.9771135789746</c:v>
                </c:pt>
                <c:pt idx="88">
                  <c:v>-73.699806427362</c:v>
                </c:pt>
                <c:pt idx="89">
                  <c:v>-73.4546517542</c:v>
                </c:pt>
                <c:pt idx="90">
                  <c:v>-73.1635746302292</c:v>
                </c:pt>
                <c:pt idx="91">
                  <c:v>-72.8320234955511</c:v>
                </c:pt>
                <c:pt idx="92">
                  <c:v>-72.5505495099178</c:v>
                </c:pt>
                <c:pt idx="93">
                  <c:v>-72.2065394842476</c:v>
                </c:pt>
                <c:pt idx="94">
                  <c:v>-71.7963008040892</c:v>
                </c:pt>
                <c:pt idx="95">
                  <c:v>-71.267869855398</c:v>
                </c:pt>
                <c:pt idx="96">
                  <c:v>-70.7403234606808</c:v>
                </c:pt>
                <c:pt idx="97">
                  <c:v>-69.874662780963</c:v>
                </c:pt>
                <c:pt idx="98">
                  <c:v>-69.1016015539089</c:v>
                </c:pt>
                <c:pt idx="99">
                  <c:v>-67.7522520033405</c:v>
                </c:pt>
                <c:pt idx="100">
                  <c:v>-60.810327366424</c:v>
                </c:pt>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3"/>
          <c:order val="3"/>
          <c:tx>
            <c:strRef>
              <c:f>'[R4-16xxxx_Calibration on NR coexistence study for WP5D_#81_CATTv2_QC_Huawei_NEC_ZTE.xls]Step 1, No.1'!$E$25</c:f>
              <c:strCache>
                <c:ptCount val="1"/>
                <c:pt idx="0">
                  <c:v>Samsung</c:v>
                </c:pt>
              </c:strCache>
            </c:strRef>
          </c:tx>
          <c:spPr>
            <a:ln w="25400" cap="rnd" cmpd="sng" algn="ctr">
              <a:solidFill>
                <a:srgbClr val="666699">
                  <a:alpha val="100000"/>
                </a:srgbClr>
              </a:solidFill>
              <a:prstDash val="solid"/>
              <a:round/>
            </a:ln>
          </c:spPr>
          <c:marker>
            <c:symbol val="none"/>
          </c:marker>
          <c:dLbls>
            <c:delete val="1"/>
          </c:dLbls>
          <c:xVal>
            <c:numRef>
              <c:f>'[R4-16xxxx_Calibration on NR coexistence study for WP5D_#81_CATTv2_QC_Huawei_NEC_ZTE.xls]Step 1, No.1'!$E$27:$E$127</c:f>
              <c:numCache>
                <c:formatCode>General</c:formatCode>
                <c:ptCount val="101"/>
                <c:pt idx="0">
                  <c:v>-89.813</c:v>
                </c:pt>
                <c:pt idx="1">
                  <c:v>-86.279</c:v>
                </c:pt>
                <c:pt idx="2">
                  <c:v>-85.076</c:v>
                </c:pt>
                <c:pt idx="3">
                  <c:v>-84.321</c:v>
                </c:pt>
                <c:pt idx="4">
                  <c:v>-83.851</c:v>
                </c:pt>
                <c:pt idx="5">
                  <c:v>-83.565</c:v>
                </c:pt>
                <c:pt idx="6">
                  <c:v>-83.317</c:v>
                </c:pt>
                <c:pt idx="7">
                  <c:v>-83.029</c:v>
                </c:pt>
                <c:pt idx="8">
                  <c:v>-82.707</c:v>
                </c:pt>
                <c:pt idx="9">
                  <c:v>-82.495</c:v>
                </c:pt>
                <c:pt idx="10">
                  <c:v>-82.248</c:v>
                </c:pt>
                <c:pt idx="11">
                  <c:v>-82.052</c:v>
                </c:pt>
                <c:pt idx="12">
                  <c:v>-81.831</c:v>
                </c:pt>
                <c:pt idx="13">
                  <c:v>-81.573</c:v>
                </c:pt>
                <c:pt idx="14">
                  <c:v>-81.294</c:v>
                </c:pt>
                <c:pt idx="15">
                  <c:v>-81.198</c:v>
                </c:pt>
                <c:pt idx="16">
                  <c:v>-81.063</c:v>
                </c:pt>
                <c:pt idx="17">
                  <c:v>-80.894</c:v>
                </c:pt>
                <c:pt idx="18">
                  <c:v>-80.693</c:v>
                </c:pt>
                <c:pt idx="19">
                  <c:v>-80.625</c:v>
                </c:pt>
                <c:pt idx="20">
                  <c:v>-80.488</c:v>
                </c:pt>
                <c:pt idx="21">
                  <c:v>-80.364</c:v>
                </c:pt>
                <c:pt idx="22">
                  <c:v>-80.225</c:v>
                </c:pt>
                <c:pt idx="23">
                  <c:v>-80.077</c:v>
                </c:pt>
                <c:pt idx="24">
                  <c:v>-79.935</c:v>
                </c:pt>
                <c:pt idx="25">
                  <c:v>-79.807</c:v>
                </c:pt>
                <c:pt idx="26">
                  <c:v>-79.688</c:v>
                </c:pt>
                <c:pt idx="27">
                  <c:v>-79.568</c:v>
                </c:pt>
                <c:pt idx="28">
                  <c:v>-79.45</c:v>
                </c:pt>
                <c:pt idx="29">
                  <c:v>-79.317</c:v>
                </c:pt>
                <c:pt idx="30">
                  <c:v>-79.157</c:v>
                </c:pt>
                <c:pt idx="31">
                  <c:v>-79.05</c:v>
                </c:pt>
                <c:pt idx="32">
                  <c:v>-78.956</c:v>
                </c:pt>
                <c:pt idx="33">
                  <c:v>-78.825</c:v>
                </c:pt>
                <c:pt idx="34">
                  <c:v>-78.693</c:v>
                </c:pt>
                <c:pt idx="35">
                  <c:v>-78.599</c:v>
                </c:pt>
                <c:pt idx="36">
                  <c:v>-78.511</c:v>
                </c:pt>
                <c:pt idx="37">
                  <c:v>-78.397</c:v>
                </c:pt>
                <c:pt idx="38">
                  <c:v>-78.276</c:v>
                </c:pt>
                <c:pt idx="39">
                  <c:v>-78.152</c:v>
                </c:pt>
                <c:pt idx="40">
                  <c:v>-78.08</c:v>
                </c:pt>
                <c:pt idx="41">
                  <c:v>-77.951</c:v>
                </c:pt>
                <c:pt idx="42">
                  <c:v>-77.886</c:v>
                </c:pt>
                <c:pt idx="43">
                  <c:v>-77.805</c:v>
                </c:pt>
                <c:pt idx="44">
                  <c:v>-77.705</c:v>
                </c:pt>
                <c:pt idx="45">
                  <c:v>-77.635</c:v>
                </c:pt>
                <c:pt idx="46">
                  <c:v>-77.567</c:v>
                </c:pt>
                <c:pt idx="47">
                  <c:v>-77.483</c:v>
                </c:pt>
                <c:pt idx="48">
                  <c:v>-77.403</c:v>
                </c:pt>
                <c:pt idx="49">
                  <c:v>-77.286</c:v>
                </c:pt>
                <c:pt idx="50">
                  <c:v>-77.208</c:v>
                </c:pt>
                <c:pt idx="51">
                  <c:v>-77.094</c:v>
                </c:pt>
                <c:pt idx="52">
                  <c:v>-76.957</c:v>
                </c:pt>
                <c:pt idx="53">
                  <c:v>-76.855</c:v>
                </c:pt>
                <c:pt idx="54">
                  <c:v>-76.717</c:v>
                </c:pt>
                <c:pt idx="55">
                  <c:v>-76.642</c:v>
                </c:pt>
                <c:pt idx="56">
                  <c:v>-76.524</c:v>
                </c:pt>
                <c:pt idx="57">
                  <c:v>-76.471</c:v>
                </c:pt>
                <c:pt idx="58">
                  <c:v>-76.319</c:v>
                </c:pt>
                <c:pt idx="59">
                  <c:v>-76.219</c:v>
                </c:pt>
                <c:pt idx="60">
                  <c:v>-76.12</c:v>
                </c:pt>
                <c:pt idx="61">
                  <c:v>-75.97</c:v>
                </c:pt>
                <c:pt idx="62">
                  <c:v>-75.838</c:v>
                </c:pt>
                <c:pt idx="63">
                  <c:v>-75.769</c:v>
                </c:pt>
                <c:pt idx="64">
                  <c:v>-75.67</c:v>
                </c:pt>
                <c:pt idx="65">
                  <c:v>-75.505</c:v>
                </c:pt>
                <c:pt idx="66">
                  <c:v>-75.406</c:v>
                </c:pt>
                <c:pt idx="67">
                  <c:v>-75.293</c:v>
                </c:pt>
                <c:pt idx="68">
                  <c:v>-75.162</c:v>
                </c:pt>
                <c:pt idx="69">
                  <c:v>-75.039</c:v>
                </c:pt>
                <c:pt idx="70">
                  <c:v>-74.914</c:v>
                </c:pt>
                <c:pt idx="71">
                  <c:v>-74.711</c:v>
                </c:pt>
                <c:pt idx="72">
                  <c:v>-74.628</c:v>
                </c:pt>
                <c:pt idx="73">
                  <c:v>-74.516</c:v>
                </c:pt>
                <c:pt idx="74">
                  <c:v>-74.408</c:v>
                </c:pt>
                <c:pt idx="75">
                  <c:v>-74.301</c:v>
                </c:pt>
                <c:pt idx="76">
                  <c:v>-74.178</c:v>
                </c:pt>
                <c:pt idx="77">
                  <c:v>-74</c:v>
                </c:pt>
                <c:pt idx="78">
                  <c:v>-73.879</c:v>
                </c:pt>
                <c:pt idx="79">
                  <c:v>-73.726</c:v>
                </c:pt>
                <c:pt idx="80">
                  <c:v>-73.508</c:v>
                </c:pt>
                <c:pt idx="81">
                  <c:v>-73.376</c:v>
                </c:pt>
                <c:pt idx="82">
                  <c:v>-73.213</c:v>
                </c:pt>
                <c:pt idx="83">
                  <c:v>-72.99</c:v>
                </c:pt>
                <c:pt idx="84">
                  <c:v>-72.74</c:v>
                </c:pt>
                <c:pt idx="85">
                  <c:v>-72.476</c:v>
                </c:pt>
                <c:pt idx="86">
                  <c:v>-72.318</c:v>
                </c:pt>
                <c:pt idx="87">
                  <c:v>-71.984</c:v>
                </c:pt>
                <c:pt idx="88">
                  <c:v>-71.561</c:v>
                </c:pt>
                <c:pt idx="89">
                  <c:v>-71.268</c:v>
                </c:pt>
                <c:pt idx="90">
                  <c:v>-70.984</c:v>
                </c:pt>
                <c:pt idx="91">
                  <c:v>-70.648</c:v>
                </c:pt>
                <c:pt idx="92">
                  <c:v>-70.362</c:v>
                </c:pt>
                <c:pt idx="93">
                  <c:v>-69.878</c:v>
                </c:pt>
                <c:pt idx="94">
                  <c:v>-69.45</c:v>
                </c:pt>
                <c:pt idx="95">
                  <c:v>-69.04</c:v>
                </c:pt>
                <c:pt idx="96">
                  <c:v>-68.405</c:v>
                </c:pt>
                <c:pt idx="97">
                  <c:v>-67.887</c:v>
                </c:pt>
                <c:pt idx="98">
                  <c:v>-67.004</c:v>
                </c:pt>
                <c:pt idx="99">
                  <c:v>-66.02</c:v>
                </c:pt>
                <c:pt idx="100">
                  <c:v>-62.855</c:v>
                </c:pt>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4"/>
          <c:order val="4"/>
          <c:tx>
            <c:strRef>
              <c:f>'[R4-16xxxx_Calibration on NR coexistence study for WP5D_#81_CATTv2_QC_Huawei_NEC_ZTE.xls]Step 1, No.1'!$F$25</c:f>
              <c:strCache>
                <c:ptCount val="1"/>
                <c:pt idx="0">
                  <c:v>Huawei</c:v>
                </c:pt>
              </c:strCache>
            </c:strRef>
          </c:tx>
          <c:spPr>
            <a:ln w="25400" cap="rnd" cmpd="sng" algn="ctr">
              <a:solidFill>
                <a:srgbClr val="666699">
                  <a:alpha val="100000"/>
                </a:srgbClr>
              </a:solidFill>
              <a:prstDash val="solid"/>
              <a:round/>
            </a:ln>
          </c:spPr>
          <c:marker>
            <c:symbol val="none"/>
          </c:marker>
          <c:dLbls>
            <c:delete val="1"/>
          </c:dLbls>
          <c:xVal>
            <c:numRef>
              <c:f>'[R4-16xxxx_Calibration on NR coexistence study for WP5D_#81_CATTv2_QC_Huawei_NEC_ZTE.xls]Step 1, No.1'!$F$27:$F$127</c:f>
              <c:numCache>
                <c:formatCode>General</c:formatCode>
                <c:ptCount val="101"/>
                <c:pt idx="0">
                  <c:v>-94.814192</c:v>
                </c:pt>
                <c:pt idx="1">
                  <c:v>-88.547496</c:v>
                </c:pt>
                <c:pt idx="2">
                  <c:v>-87.196837</c:v>
                </c:pt>
                <c:pt idx="3">
                  <c:v>-86.502087</c:v>
                </c:pt>
                <c:pt idx="4">
                  <c:v>-85.921168</c:v>
                </c:pt>
                <c:pt idx="5">
                  <c:v>-85.42056</c:v>
                </c:pt>
                <c:pt idx="6">
                  <c:v>-85.026258</c:v>
                </c:pt>
                <c:pt idx="7">
                  <c:v>-84.758371</c:v>
                </c:pt>
                <c:pt idx="8">
                  <c:v>-84.477866</c:v>
                </c:pt>
                <c:pt idx="9">
                  <c:v>-84.205204</c:v>
                </c:pt>
                <c:pt idx="10">
                  <c:v>-83.941884</c:v>
                </c:pt>
                <c:pt idx="11">
                  <c:v>-83.70502</c:v>
                </c:pt>
                <c:pt idx="12">
                  <c:v>-83.454767</c:v>
                </c:pt>
                <c:pt idx="13">
                  <c:v>-83.256398</c:v>
                </c:pt>
                <c:pt idx="14">
                  <c:v>-83.058011</c:v>
                </c:pt>
                <c:pt idx="15">
                  <c:v>-82.872042</c:v>
                </c:pt>
                <c:pt idx="16">
                  <c:v>-82.654062</c:v>
                </c:pt>
                <c:pt idx="17">
                  <c:v>-82.456689</c:v>
                </c:pt>
                <c:pt idx="18">
                  <c:v>-82.314994</c:v>
                </c:pt>
                <c:pt idx="19">
                  <c:v>-82.170772</c:v>
                </c:pt>
                <c:pt idx="20">
                  <c:v>-82.014229</c:v>
                </c:pt>
                <c:pt idx="21">
                  <c:v>-81.876064</c:v>
                </c:pt>
                <c:pt idx="22">
                  <c:v>-81.695001</c:v>
                </c:pt>
                <c:pt idx="23">
                  <c:v>-81.564047</c:v>
                </c:pt>
                <c:pt idx="24">
                  <c:v>-81.407437</c:v>
                </c:pt>
                <c:pt idx="25">
                  <c:v>-81.265375</c:v>
                </c:pt>
                <c:pt idx="26">
                  <c:v>-81.162409</c:v>
                </c:pt>
                <c:pt idx="27">
                  <c:v>-81.023386</c:v>
                </c:pt>
                <c:pt idx="28">
                  <c:v>-80.892397</c:v>
                </c:pt>
                <c:pt idx="29">
                  <c:v>-80.743421</c:v>
                </c:pt>
                <c:pt idx="30">
                  <c:v>-80.616069</c:v>
                </c:pt>
                <c:pt idx="31">
                  <c:v>-80.470959</c:v>
                </c:pt>
                <c:pt idx="32">
                  <c:v>-80.338833</c:v>
                </c:pt>
                <c:pt idx="33">
                  <c:v>-80.23365</c:v>
                </c:pt>
                <c:pt idx="34">
                  <c:v>-80.105131</c:v>
                </c:pt>
                <c:pt idx="35">
                  <c:v>-79.986133</c:v>
                </c:pt>
                <c:pt idx="36">
                  <c:v>-79.852125</c:v>
                </c:pt>
                <c:pt idx="37">
                  <c:v>-79.742691</c:v>
                </c:pt>
                <c:pt idx="38">
                  <c:v>-79.611789</c:v>
                </c:pt>
                <c:pt idx="39">
                  <c:v>-79.471343</c:v>
                </c:pt>
                <c:pt idx="40">
                  <c:v>-79.363894</c:v>
                </c:pt>
                <c:pt idx="41">
                  <c:v>-79.253958</c:v>
                </c:pt>
                <c:pt idx="42">
                  <c:v>-79.156178</c:v>
                </c:pt>
                <c:pt idx="43">
                  <c:v>-79.073985</c:v>
                </c:pt>
                <c:pt idx="44">
                  <c:v>-78.974655</c:v>
                </c:pt>
                <c:pt idx="45">
                  <c:v>-78.877289</c:v>
                </c:pt>
                <c:pt idx="46">
                  <c:v>-78.777092</c:v>
                </c:pt>
                <c:pt idx="47">
                  <c:v>-78.644291</c:v>
                </c:pt>
                <c:pt idx="48">
                  <c:v>-78.507965</c:v>
                </c:pt>
                <c:pt idx="49">
                  <c:v>-78.391645</c:v>
                </c:pt>
                <c:pt idx="50">
                  <c:v>-78.259046</c:v>
                </c:pt>
                <c:pt idx="51">
                  <c:v>-78.153338</c:v>
                </c:pt>
                <c:pt idx="52">
                  <c:v>-78.048033</c:v>
                </c:pt>
                <c:pt idx="53">
                  <c:v>-77.921769</c:v>
                </c:pt>
                <c:pt idx="54">
                  <c:v>-77.793631</c:v>
                </c:pt>
                <c:pt idx="55">
                  <c:v>-77.67718</c:v>
                </c:pt>
                <c:pt idx="56">
                  <c:v>-77.587704</c:v>
                </c:pt>
                <c:pt idx="57">
                  <c:v>-77.473733</c:v>
                </c:pt>
                <c:pt idx="58">
                  <c:v>-77.350529</c:v>
                </c:pt>
                <c:pt idx="59">
                  <c:v>-77.241667</c:v>
                </c:pt>
                <c:pt idx="60">
                  <c:v>-77.128216</c:v>
                </c:pt>
                <c:pt idx="61">
                  <c:v>-77.018467</c:v>
                </c:pt>
                <c:pt idx="62">
                  <c:v>-76.920184</c:v>
                </c:pt>
                <c:pt idx="63">
                  <c:v>-76.776978</c:v>
                </c:pt>
                <c:pt idx="64">
                  <c:v>-76.668623</c:v>
                </c:pt>
                <c:pt idx="65">
                  <c:v>-76.551857</c:v>
                </c:pt>
                <c:pt idx="66">
                  <c:v>-76.436557</c:v>
                </c:pt>
                <c:pt idx="67">
                  <c:v>-76.299914</c:v>
                </c:pt>
                <c:pt idx="68">
                  <c:v>-76.177418</c:v>
                </c:pt>
                <c:pt idx="69">
                  <c:v>-76.042472</c:v>
                </c:pt>
                <c:pt idx="70">
                  <c:v>-75.901241</c:v>
                </c:pt>
                <c:pt idx="71">
                  <c:v>-75.746209</c:v>
                </c:pt>
                <c:pt idx="72">
                  <c:v>-75.595201</c:v>
                </c:pt>
                <c:pt idx="73">
                  <c:v>-75.451229</c:v>
                </c:pt>
                <c:pt idx="74">
                  <c:v>-75.268988</c:v>
                </c:pt>
                <c:pt idx="75">
                  <c:v>-75.121522</c:v>
                </c:pt>
                <c:pt idx="76">
                  <c:v>-74.960335</c:v>
                </c:pt>
                <c:pt idx="77">
                  <c:v>-74.765544</c:v>
                </c:pt>
                <c:pt idx="78">
                  <c:v>-74.615319</c:v>
                </c:pt>
                <c:pt idx="79">
                  <c:v>-74.444355</c:v>
                </c:pt>
                <c:pt idx="80">
                  <c:v>-74.269936</c:v>
                </c:pt>
                <c:pt idx="81">
                  <c:v>-74.114988</c:v>
                </c:pt>
                <c:pt idx="82">
                  <c:v>-73.912163</c:v>
                </c:pt>
                <c:pt idx="83">
                  <c:v>-73.695064</c:v>
                </c:pt>
                <c:pt idx="84">
                  <c:v>-73.49783</c:v>
                </c:pt>
                <c:pt idx="85">
                  <c:v>-73.321339</c:v>
                </c:pt>
                <c:pt idx="86">
                  <c:v>-73.097877</c:v>
                </c:pt>
                <c:pt idx="87">
                  <c:v>-72.810612</c:v>
                </c:pt>
                <c:pt idx="88">
                  <c:v>-72.543951</c:v>
                </c:pt>
                <c:pt idx="89">
                  <c:v>-72.276401</c:v>
                </c:pt>
                <c:pt idx="90">
                  <c:v>-71.876492</c:v>
                </c:pt>
                <c:pt idx="91">
                  <c:v>-71.563193</c:v>
                </c:pt>
                <c:pt idx="92">
                  <c:v>-71.282694</c:v>
                </c:pt>
                <c:pt idx="93">
                  <c:v>-70.96685</c:v>
                </c:pt>
                <c:pt idx="94">
                  <c:v>-70.545286</c:v>
                </c:pt>
                <c:pt idx="95">
                  <c:v>-70.081996</c:v>
                </c:pt>
                <c:pt idx="96">
                  <c:v>-69.524495</c:v>
                </c:pt>
                <c:pt idx="97">
                  <c:v>-68.820953</c:v>
                </c:pt>
                <c:pt idx="98">
                  <c:v>-67.787322</c:v>
                </c:pt>
                <c:pt idx="99">
                  <c:v>-65.933794</c:v>
                </c:pt>
                <c:pt idx="100">
                  <c:v>-61.340664</c:v>
                </c:pt>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5"/>
          <c:order val="5"/>
          <c:tx>
            <c:strRef>
              <c:f>'[R4-16xxxx_Calibration on NR coexistence study for WP5D_#81_CATTv2_QC_Huawei_NEC_ZTE.xls]Step 1, No.1'!$G$25</c:f>
              <c:strCache>
                <c:ptCount val="1"/>
                <c:pt idx="0">
                  <c:v>Intel</c:v>
                </c:pt>
              </c:strCache>
            </c:strRef>
          </c:tx>
          <c:spPr>
            <a:ln w="25400" cap="rnd" cmpd="sng" algn="ctr">
              <a:solidFill>
                <a:srgbClr val="FF6600">
                  <a:alpha val="100000"/>
                </a:srgbClr>
              </a:solidFill>
              <a:prstDash val="solid"/>
              <a:round/>
            </a:ln>
          </c:spPr>
          <c:marker>
            <c:symbol val="none"/>
          </c:marker>
          <c:dLbls>
            <c:delete val="1"/>
          </c:dLbls>
          <c:xVal>
            <c:numRef>
              <c:f>'[R4-16xxxx_Calibration on NR coexistence study for WP5D_#81_CATTv2_QC_Huawei_NEC_ZTE.xls]Step 1, No.1'!$G$27:$G$127</c:f>
              <c:numCache>
                <c:formatCode>General</c:formatCode>
                <c:ptCount val="101"/>
                <c:pt idx="0">
                  <c:v>-90.6391</c:v>
                </c:pt>
                <c:pt idx="1">
                  <c:v>-86.5248</c:v>
                </c:pt>
                <c:pt idx="2">
                  <c:v>-85.5712</c:v>
                </c:pt>
                <c:pt idx="3">
                  <c:v>-84.944</c:v>
                </c:pt>
                <c:pt idx="4">
                  <c:v>-84.4403</c:v>
                </c:pt>
                <c:pt idx="5">
                  <c:v>-84.1104</c:v>
                </c:pt>
                <c:pt idx="6">
                  <c:v>-83.8421</c:v>
                </c:pt>
                <c:pt idx="7">
                  <c:v>-83.6399</c:v>
                </c:pt>
                <c:pt idx="8">
                  <c:v>-83.3726</c:v>
                </c:pt>
                <c:pt idx="9">
                  <c:v>-83.1594</c:v>
                </c:pt>
                <c:pt idx="10">
                  <c:v>-82.9301</c:v>
                </c:pt>
                <c:pt idx="11">
                  <c:v>-82.665</c:v>
                </c:pt>
                <c:pt idx="12">
                  <c:v>-82.491</c:v>
                </c:pt>
                <c:pt idx="13">
                  <c:v>-82.3092</c:v>
                </c:pt>
                <c:pt idx="14">
                  <c:v>-82.1641</c:v>
                </c:pt>
                <c:pt idx="15">
                  <c:v>-81.993</c:v>
                </c:pt>
                <c:pt idx="16">
                  <c:v>-81.8154</c:v>
                </c:pt>
                <c:pt idx="17">
                  <c:v>-81.6975</c:v>
                </c:pt>
                <c:pt idx="18">
                  <c:v>-81.5826</c:v>
                </c:pt>
                <c:pt idx="19">
                  <c:v>-81.4449</c:v>
                </c:pt>
                <c:pt idx="20">
                  <c:v>-81.3143</c:v>
                </c:pt>
                <c:pt idx="21">
                  <c:v>-81.1869</c:v>
                </c:pt>
                <c:pt idx="22">
                  <c:v>-81.027</c:v>
                </c:pt>
                <c:pt idx="23">
                  <c:v>-80.8838</c:v>
                </c:pt>
                <c:pt idx="24">
                  <c:v>-80.7708</c:v>
                </c:pt>
                <c:pt idx="25">
                  <c:v>-80.6445</c:v>
                </c:pt>
                <c:pt idx="26">
                  <c:v>-80.5515</c:v>
                </c:pt>
                <c:pt idx="27">
                  <c:v>-80.4235</c:v>
                </c:pt>
                <c:pt idx="28">
                  <c:v>-80.3052</c:v>
                </c:pt>
                <c:pt idx="29">
                  <c:v>-80.1845</c:v>
                </c:pt>
                <c:pt idx="30">
                  <c:v>-80.0643</c:v>
                </c:pt>
                <c:pt idx="31">
                  <c:v>-79.9624</c:v>
                </c:pt>
                <c:pt idx="32">
                  <c:v>-79.8599</c:v>
                </c:pt>
                <c:pt idx="33">
                  <c:v>-79.7491</c:v>
                </c:pt>
                <c:pt idx="34">
                  <c:v>-79.6541</c:v>
                </c:pt>
                <c:pt idx="35">
                  <c:v>-79.5108</c:v>
                </c:pt>
                <c:pt idx="36">
                  <c:v>-79.3937</c:v>
                </c:pt>
                <c:pt idx="37">
                  <c:v>-79.3073</c:v>
                </c:pt>
                <c:pt idx="38">
                  <c:v>-79.2053</c:v>
                </c:pt>
                <c:pt idx="39">
                  <c:v>-79.1164</c:v>
                </c:pt>
                <c:pt idx="40">
                  <c:v>-78.9866</c:v>
                </c:pt>
                <c:pt idx="41">
                  <c:v>-78.8889</c:v>
                </c:pt>
                <c:pt idx="42">
                  <c:v>-78.7795</c:v>
                </c:pt>
                <c:pt idx="43">
                  <c:v>-78.688</c:v>
                </c:pt>
                <c:pt idx="44">
                  <c:v>-78.5876</c:v>
                </c:pt>
                <c:pt idx="45">
                  <c:v>-78.4779</c:v>
                </c:pt>
                <c:pt idx="46">
                  <c:v>-78.3803</c:v>
                </c:pt>
                <c:pt idx="47">
                  <c:v>-78.258</c:v>
                </c:pt>
                <c:pt idx="48">
                  <c:v>-78.1732</c:v>
                </c:pt>
                <c:pt idx="49">
                  <c:v>-78.0646</c:v>
                </c:pt>
                <c:pt idx="50">
                  <c:v>-77.9639</c:v>
                </c:pt>
                <c:pt idx="51">
                  <c:v>-77.8622</c:v>
                </c:pt>
                <c:pt idx="52">
                  <c:v>-77.774</c:v>
                </c:pt>
                <c:pt idx="53">
                  <c:v>-77.6863</c:v>
                </c:pt>
                <c:pt idx="54">
                  <c:v>-77.5774</c:v>
                </c:pt>
                <c:pt idx="55">
                  <c:v>-77.4861</c:v>
                </c:pt>
                <c:pt idx="56">
                  <c:v>-77.3415</c:v>
                </c:pt>
                <c:pt idx="57">
                  <c:v>-77.2006</c:v>
                </c:pt>
                <c:pt idx="58">
                  <c:v>-77.0871</c:v>
                </c:pt>
                <c:pt idx="59">
                  <c:v>-77.0195</c:v>
                </c:pt>
                <c:pt idx="60">
                  <c:v>-76.9065</c:v>
                </c:pt>
                <c:pt idx="61">
                  <c:v>-76.7546</c:v>
                </c:pt>
                <c:pt idx="62">
                  <c:v>-76.6536</c:v>
                </c:pt>
                <c:pt idx="63">
                  <c:v>-76.5497</c:v>
                </c:pt>
                <c:pt idx="64">
                  <c:v>-76.4385</c:v>
                </c:pt>
                <c:pt idx="65">
                  <c:v>-76.3216</c:v>
                </c:pt>
                <c:pt idx="66">
                  <c:v>-76.2092</c:v>
                </c:pt>
                <c:pt idx="67">
                  <c:v>-76.0881</c:v>
                </c:pt>
                <c:pt idx="68">
                  <c:v>-75.973</c:v>
                </c:pt>
                <c:pt idx="69">
                  <c:v>-75.8418</c:v>
                </c:pt>
                <c:pt idx="70">
                  <c:v>-75.7134</c:v>
                </c:pt>
                <c:pt idx="71">
                  <c:v>-75.5802</c:v>
                </c:pt>
                <c:pt idx="72">
                  <c:v>-75.4352</c:v>
                </c:pt>
                <c:pt idx="73">
                  <c:v>-75.2931</c:v>
                </c:pt>
                <c:pt idx="74">
                  <c:v>-75.1647</c:v>
                </c:pt>
                <c:pt idx="75">
                  <c:v>-74.9934</c:v>
                </c:pt>
                <c:pt idx="76">
                  <c:v>-74.8698</c:v>
                </c:pt>
                <c:pt idx="77">
                  <c:v>-74.6999</c:v>
                </c:pt>
                <c:pt idx="78">
                  <c:v>-74.5383</c:v>
                </c:pt>
                <c:pt idx="79">
                  <c:v>-74.4154</c:v>
                </c:pt>
                <c:pt idx="80">
                  <c:v>-74.2551</c:v>
                </c:pt>
                <c:pt idx="81">
                  <c:v>-74.0664</c:v>
                </c:pt>
                <c:pt idx="82">
                  <c:v>-73.9062</c:v>
                </c:pt>
                <c:pt idx="83">
                  <c:v>-73.7271</c:v>
                </c:pt>
                <c:pt idx="84">
                  <c:v>-73.5103</c:v>
                </c:pt>
                <c:pt idx="85">
                  <c:v>-73.3069</c:v>
                </c:pt>
                <c:pt idx="86">
                  <c:v>-73.1389</c:v>
                </c:pt>
                <c:pt idx="87">
                  <c:v>-72.9296</c:v>
                </c:pt>
                <c:pt idx="88">
                  <c:v>-72.6951</c:v>
                </c:pt>
                <c:pt idx="89">
                  <c:v>-72.4023</c:v>
                </c:pt>
                <c:pt idx="90">
                  <c:v>-72.0701</c:v>
                </c:pt>
                <c:pt idx="91">
                  <c:v>-71.7572</c:v>
                </c:pt>
                <c:pt idx="92">
                  <c:v>-71.423</c:v>
                </c:pt>
                <c:pt idx="93">
                  <c:v>-71.082</c:v>
                </c:pt>
                <c:pt idx="94">
                  <c:v>-70.746</c:v>
                </c:pt>
                <c:pt idx="95">
                  <c:v>-70.2532</c:v>
                </c:pt>
                <c:pt idx="96">
                  <c:v>-69.6335</c:v>
                </c:pt>
                <c:pt idx="97">
                  <c:v>-68.9874</c:v>
                </c:pt>
                <c:pt idx="98">
                  <c:v>-68.1647</c:v>
                </c:pt>
                <c:pt idx="99">
                  <c:v>-66.3468</c:v>
                </c:pt>
                <c:pt idx="100">
                  <c:v>-59.91</c:v>
                </c:pt>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6"/>
          <c:order val="6"/>
          <c:tx>
            <c:strRef>
              <c:f>'[R4-16xxxx_Calibration on NR coexistence study for WP5D_#81_CATTv2_QC_Huawei_NEC_ZTE.xls]Step 1, No.1'!$H$25</c:f>
              <c:strCache>
                <c:ptCount val="1"/>
                <c:pt idx="0">
                  <c:v>Nokia, Alcatel-Lucent Shanghai Bell</c:v>
                </c:pt>
              </c:strCache>
            </c:strRef>
          </c:tx>
          <c:spPr>
            <a:ln w="25400" cap="rnd" cmpd="sng" algn="ctr">
              <a:solidFill>
                <a:srgbClr val="666699">
                  <a:alpha val="100000"/>
                </a:srgbClr>
              </a:solidFill>
              <a:prstDash val="solid"/>
              <a:round/>
            </a:ln>
          </c:spPr>
          <c:marker>
            <c:symbol val="none"/>
          </c:marker>
          <c:dLbls>
            <c:delete val="1"/>
          </c:dLbls>
          <c:xVal>
            <c:numRef>
              <c:f>'[R4-16xxxx_Calibration on NR coexistence study for WP5D_#81_CATTv2_QC_Huawei_NEC_ZTE.xls]Step 1, No.1'!$H$27:$H$127</c:f>
              <c:numCache>
                <c:formatCode>General</c:formatCode>
                <c:ptCount val="101"/>
                <c:pt idx="0">
                  <c:v>-98.3163</c:v>
                </c:pt>
                <c:pt idx="1">
                  <c:v>-87.5568</c:v>
                </c:pt>
                <c:pt idx="2">
                  <c:v>-86.322</c:v>
                </c:pt>
                <c:pt idx="3">
                  <c:v>-85.6308</c:v>
                </c:pt>
                <c:pt idx="4">
                  <c:v>-85.0995</c:v>
                </c:pt>
                <c:pt idx="5">
                  <c:v>-84.7461</c:v>
                </c:pt>
                <c:pt idx="6">
                  <c:v>-84.4338</c:v>
                </c:pt>
                <c:pt idx="7">
                  <c:v>-84.1214</c:v>
                </c:pt>
                <c:pt idx="8">
                  <c:v>-83.8653</c:v>
                </c:pt>
                <c:pt idx="9">
                  <c:v>-83.6449</c:v>
                </c:pt>
                <c:pt idx="10">
                  <c:v>-83.4245</c:v>
                </c:pt>
                <c:pt idx="11">
                  <c:v>-83.2041</c:v>
                </c:pt>
                <c:pt idx="12">
                  <c:v>-82.9873</c:v>
                </c:pt>
                <c:pt idx="13">
                  <c:v>-82.8157</c:v>
                </c:pt>
                <c:pt idx="14">
                  <c:v>-82.6441</c:v>
                </c:pt>
                <c:pt idx="15">
                  <c:v>-82.4726</c:v>
                </c:pt>
                <c:pt idx="16">
                  <c:v>-82.301</c:v>
                </c:pt>
                <c:pt idx="17">
                  <c:v>-82.1294</c:v>
                </c:pt>
                <c:pt idx="18">
                  <c:v>-81.9648</c:v>
                </c:pt>
                <c:pt idx="19">
                  <c:v>-81.8219</c:v>
                </c:pt>
                <c:pt idx="20">
                  <c:v>-81.6789</c:v>
                </c:pt>
                <c:pt idx="21">
                  <c:v>-81.5359</c:v>
                </c:pt>
                <c:pt idx="22">
                  <c:v>-81.393</c:v>
                </c:pt>
                <c:pt idx="23">
                  <c:v>-81.25</c:v>
                </c:pt>
                <c:pt idx="24">
                  <c:v>-81.107</c:v>
                </c:pt>
                <c:pt idx="25">
                  <c:v>-80.9713</c:v>
                </c:pt>
                <c:pt idx="26">
                  <c:v>-80.8571</c:v>
                </c:pt>
                <c:pt idx="27">
                  <c:v>-80.7428</c:v>
                </c:pt>
                <c:pt idx="28">
                  <c:v>-80.6286</c:v>
                </c:pt>
                <c:pt idx="29">
                  <c:v>-80.5143</c:v>
                </c:pt>
                <c:pt idx="30">
                  <c:v>-80.4001</c:v>
                </c:pt>
                <c:pt idx="31">
                  <c:v>-80.2859</c:v>
                </c:pt>
                <c:pt idx="32">
                  <c:v>-80.1716</c:v>
                </c:pt>
                <c:pt idx="33">
                  <c:v>-80.0574</c:v>
                </c:pt>
                <c:pt idx="34">
                  <c:v>-79.9529</c:v>
                </c:pt>
                <c:pt idx="35">
                  <c:v>-79.8583</c:v>
                </c:pt>
                <c:pt idx="36">
                  <c:v>-79.7637</c:v>
                </c:pt>
                <c:pt idx="37">
                  <c:v>-79.6691</c:v>
                </c:pt>
                <c:pt idx="38">
                  <c:v>-79.5745</c:v>
                </c:pt>
                <c:pt idx="39">
                  <c:v>-79.4799</c:v>
                </c:pt>
                <c:pt idx="40">
                  <c:v>-79.3853</c:v>
                </c:pt>
                <c:pt idx="41">
                  <c:v>-79.2907</c:v>
                </c:pt>
                <c:pt idx="42">
                  <c:v>-79.1961</c:v>
                </c:pt>
                <c:pt idx="43">
                  <c:v>-79.1015</c:v>
                </c:pt>
                <c:pt idx="44">
                  <c:v>-79.0069</c:v>
                </c:pt>
                <c:pt idx="45">
                  <c:v>-78.8972</c:v>
                </c:pt>
                <c:pt idx="46">
                  <c:v>-78.7863</c:v>
                </c:pt>
                <c:pt idx="47">
                  <c:v>-78.6754</c:v>
                </c:pt>
                <c:pt idx="48">
                  <c:v>-78.5645</c:v>
                </c:pt>
                <c:pt idx="49">
                  <c:v>-78.4536</c:v>
                </c:pt>
                <c:pt idx="50">
                  <c:v>-78.3427</c:v>
                </c:pt>
                <c:pt idx="51">
                  <c:v>-78.2318</c:v>
                </c:pt>
                <c:pt idx="52">
                  <c:v>-78.1209</c:v>
                </c:pt>
                <c:pt idx="53">
                  <c:v>-78.01</c:v>
                </c:pt>
                <c:pt idx="54">
                  <c:v>-77.8965</c:v>
                </c:pt>
                <c:pt idx="55">
                  <c:v>-77.7827</c:v>
                </c:pt>
                <c:pt idx="56">
                  <c:v>-77.669</c:v>
                </c:pt>
                <c:pt idx="57">
                  <c:v>-77.5552</c:v>
                </c:pt>
                <c:pt idx="58">
                  <c:v>-77.4414</c:v>
                </c:pt>
                <c:pt idx="59">
                  <c:v>-77.3277</c:v>
                </c:pt>
                <c:pt idx="60">
                  <c:v>-77.2139</c:v>
                </c:pt>
                <c:pt idx="61">
                  <c:v>-77.1001</c:v>
                </c:pt>
                <c:pt idx="62">
                  <c:v>-76.9857</c:v>
                </c:pt>
                <c:pt idx="63">
                  <c:v>-76.8663</c:v>
                </c:pt>
                <c:pt idx="64">
                  <c:v>-76.747</c:v>
                </c:pt>
                <c:pt idx="65">
                  <c:v>-76.6276</c:v>
                </c:pt>
                <c:pt idx="66">
                  <c:v>-76.5082</c:v>
                </c:pt>
                <c:pt idx="67">
                  <c:v>-76.3888</c:v>
                </c:pt>
                <c:pt idx="68">
                  <c:v>-76.2694</c:v>
                </c:pt>
                <c:pt idx="69">
                  <c:v>-76.1501</c:v>
                </c:pt>
                <c:pt idx="70">
                  <c:v>-76.0307</c:v>
                </c:pt>
                <c:pt idx="71">
                  <c:v>-75.8974</c:v>
                </c:pt>
                <c:pt idx="72">
                  <c:v>-75.7592</c:v>
                </c:pt>
                <c:pt idx="73">
                  <c:v>-75.6211</c:v>
                </c:pt>
                <c:pt idx="74">
                  <c:v>-75.4829</c:v>
                </c:pt>
                <c:pt idx="75">
                  <c:v>-75.3448</c:v>
                </c:pt>
                <c:pt idx="76">
                  <c:v>-75.2067</c:v>
                </c:pt>
                <c:pt idx="77">
                  <c:v>-75.0685</c:v>
                </c:pt>
                <c:pt idx="78">
                  <c:v>-74.9092</c:v>
                </c:pt>
                <c:pt idx="79">
                  <c:v>-74.729</c:v>
                </c:pt>
                <c:pt idx="80">
                  <c:v>-74.5488</c:v>
                </c:pt>
                <c:pt idx="81">
                  <c:v>-74.3686</c:v>
                </c:pt>
                <c:pt idx="82">
                  <c:v>-74.1884</c:v>
                </c:pt>
                <c:pt idx="83">
                  <c:v>-74.0083</c:v>
                </c:pt>
                <c:pt idx="84">
                  <c:v>-73.7806</c:v>
                </c:pt>
                <c:pt idx="85">
                  <c:v>-73.5507</c:v>
                </c:pt>
                <c:pt idx="86">
                  <c:v>-73.3207</c:v>
                </c:pt>
                <c:pt idx="87">
                  <c:v>-73.0908</c:v>
                </c:pt>
                <c:pt idx="88">
                  <c:v>-72.8299</c:v>
                </c:pt>
                <c:pt idx="89">
                  <c:v>-72.5487</c:v>
                </c:pt>
                <c:pt idx="90">
                  <c:v>-72.2675</c:v>
                </c:pt>
                <c:pt idx="91">
                  <c:v>-71.982</c:v>
                </c:pt>
                <c:pt idx="92">
                  <c:v>-71.6118</c:v>
                </c:pt>
                <c:pt idx="93">
                  <c:v>-71.2416</c:v>
                </c:pt>
                <c:pt idx="94">
                  <c:v>-70.8489</c:v>
                </c:pt>
                <c:pt idx="95">
                  <c:v>-70.4137</c:v>
                </c:pt>
                <c:pt idx="96">
                  <c:v>-69.9663</c:v>
                </c:pt>
                <c:pt idx="97">
                  <c:v>-69.2856</c:v>
                </c:pt>
                <c:pt idx="98">
                  <c:v>-68.3472</c:v>
                </c:pt>
                <c:pt idx="99">
                  <c:v>-66.7506</c:v>
                </c:pt>
                <c:pt idx="100">
                  <c:v>-59.8482</c:v>
                </c:pt>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7"/>
          <c:order val="7"/>
          <c:tx>
            <c:strRef>
              <c:f>'[R4-16xxxx_Calibration on NR coexistence study for WP5D_#81_CATTv2_QC_Huawei_NEC_ZTE.xls]Step 1, No.1'!$I$25</c:f>
              <c:strCache>
                <c:ptCount val="1"/>
                <c:pt idx="0">
                  <c:v>Company 8</c:v>
                </c:pt>
              </c:strCache>
            </c:strRef>
          </c:tx>
          <c:spPr>
            <a:ln w="25400" cap="rnd" cmpd="sng" algn="ctr">
              <a:solidFill>
                <a:srgbClr val="993366">
                  <a:alpha val="100000"/>
                </a:srgbClr>
              </a:solidFill>
              <a:prstDash val="solid"/>
              <a:round/>
            </a:ln>
          </c:spPr>
          <c:marker>
            <c:symbol val="none"/>
          </c:marker>
          <c:dLbls>
            <c:delete val="1"/>
          </c:dLbls>
          <c:xVal>
            <c:numRef>
              <c:f>'[R4-16xxxx_Calibration on NR coexistence study for WP5D_#81_CATTv2_QC_Huawei_NEC_ZTE.xls]Step 1, No.1'!$I$27:$I$127</c:f>
              <c:numCache>
                <c:formatCode>General</c:formatCode>
                <c:ptCount val="101"/>
                <c:pt idx="0">
                  <c:v>-91.442099</c:v>
                </c:pt>
                <c:pt idx="1">
                  <c:v>-87.676156</c:v>
                </c:pt>
                <c:pt idx="2">
                  <c:v>-86.407425</c:v>
                </c:pt>
                <c:pt idx="3">
                  <c:v>-86.336921</c:v>
                </c:pt>
                <c:pt idx="4">
                  <c:v>-85.82573</c:v>
                </c:pt>
                <c:pt idx="5">
                  <c:v>-85.329433</c:v>
                </c:pt>
                <c:pt idx="6">
                  <c:v>-84.457436</c:v>
                </c:pt>
                <c:pt idx="7">
                  <c:v>-84.072344</c:v>
                </c:pt>
                <c:pt idx="8">
                  <c:v>-84.020881</c:v>
                </c:pt>
                <c:pt idx="9">
                  <c:v>-83.77526</c:v>
                </c:pt>
                <c:pt idx="10">
                  <c:v>-83.665035</c:v>
                </c:pt>
                <c:pt idx="11">
                  <c:v>-83.205565</c:v>
                </c:pt>
                <c:pt idx="12">
                  <c:v>-82.996801</c:v>
                </c:pt>
                <c:pt idx="13">
                  <c:v>-82.585078</c:v>
                </c:pt>
                <c:pt idx="14">
                  <c:v>-82.482108</c:v>
                </c:pt>
                <c:pt idx="15">
                  <c:v>-82.283752</c:v>
                </c:pt>
                <c:pt idx="16">
                  <c:v>-82.190995</c:v>
                </c:pt>
                <c:pt idx="17">
                  <c:v>-82.036292</c:v>
                </c:pt>
                <c:pt idx="18">
                  <c:v>-81.96205</c:v>
                </c:pt>
                <c:pt idx="19">
                  <c:v>-81.805188</c:v>
                </c:pt>
                <c:pt idx="20">
                  <c:v>-81.599363</c:v>
                </c:pt>
                <c:pt idx="21">
                  <c:v>-81.291908</c:v>
                </c:pt>
                <c:pt idx="22">
                  <c:v>-81.169305</c:v>
                </c:pt>
                <c:pt idx="23">
                  <c:v>-81.092243</c:v>
                </c:pt>
                <c:pt idx="24">
                  <c:v>-81.003628</c:v>
                </c:pt>
                <c:pt idx="25">
                  <c:v>-80.846801</c:v>
                </c:pt>
                <c:pt idx="26">
                  <c:v>-80.521579</c:v>
                </c:pt>
                <c:pt idx="27">
                  <c:v>-80.462276</c:v>
                </c:pt>
                <c:pt idx="28">
                  <c:v>-80.282791</c:v>
                </c:pt>
                <c:pt idx="29">
                  <c:v>-80.255584</c:v>
                </c:pt>
                <c:pt idx="30">
                  <c:v>-80.187761</c:v>
                </c:pt>
                <c:pt idx="31">
                  <c:v>-79.958853</c:v>
                </c:pt>
                <c:pt idx="32">
                  <c:v>-79.899555</c:v>
                </c:pt>
                <c:pt idx="33">
                  <c:v>-79.724841</c:v>
                </c:pt>
                <c:pt idx="34">
                  <c:v>-79.622806</c:v>
                </c:pt>
                <c:pt idx="35">
                  <c:v>-79.507659</c:v>
                </c:pt>
                <c:pt idx="36">
                  <c:v>-79.402188</c:v>
                </c:pt>
                <c:pt idx="37">
                  <c:v>-79.21966</c:v>
                </c:pt>
                <c:pt idx="38">
                  <c:v>-79.097873</c:v>
                </c:pt>
                <c:pt idx="39">
                  <c:v>-78.991439</c:v>
                </c:pt>
                <c:pt idx="40">
                  <c:v>-78.967173</c:v>
                </c:pt>
                <c:pt idx="41">
                  <c:v>-78.910973</c:v>
                </c:pt>
                <c:pt idx="42">
                  <c:v>-78.8117</c:v>
                </c:pt>
                <c:pt idx="43">
                  <c:v>-78.598358</c:v>
                </c:pt>
                <c:pt idx="44">
                  <c:v>-78.435048</c:v>
                </c:pt>
                <c:pt idx="45">
                  <c:v>-78.40772</c:v>
                </c:pt>
                <c:pt idx="46">
                  <c:v>-78.284542</c:v>
                </c:pt>
                <c:pt idx="47">
                  <c:v>-78.223255</c:v>
                </c:pt>
                <c:pt idx="48">
                  <c:v>-78.194055</c:v>
                </c:pt>
                <c:pt idx="49">
                  <c:v>-78.063929</c:v>
                </c:pt>
                <c:pt idx="50">
                  <c:v>-78.009508</c:v>
                </c:pt>
                <c:pt idx="51">
                  <c:v>-77.921027</c:v>
                </c:pt>
                <c:pt idx="52">
                  <c:v>-77.689022</c:v>
                </c:pt>
                <c:pt idx="53">
                  <c:v>-77.527928</c:v>
                </c:pt>
                <c:pt idx="54">
                  <c:v>-77.23134</c:v>
                </c:pt>
                <c:pt idx="55">
                  <c:v>-77.14494</c:v>
                </c:pt>
                <c:pt idx="56">
                  <c:v>-76.947624</c:v>
                </c:pt>
                <c:pt idx="57">
                  <c:v>-76.866628</c:v>
                </c:pt>
                <c:pt idx="58">
                  <c:v>-76.822241</c:v>
                </c:pt>
                <c:pt idx="59">
                  <c:v>-76.785877</c:v>
                </c:pt>
                <c:pt idx="60">
                  <c:v>-76.693909</c:v>
                </c:pt>
                <c:pt idx="61">
                  <c:v>-76.55034</c:v>
                </c:pt>
                <c:pt idx="62">
                  <c:v>-76.291047</c:v>
                </c:pt>
                <c:pt idx="63">
                  <c:v>-75.977628</c:v>
                </c:pt>
                <c:pt idx="64">
                  <c:v>-75.869319</c:v>
                </c:pt>
                <c:pt idx="65">
                  <c:v>-75.688146</c:v>
                </c:pt>
                <c:pt idx="66">
                  <c:v>-75.611394</c:v>
                </c:pt>
                <c:pt idx="67">
                  <c:v>-75.471701</c:v>
                </c:pt>
                <c:pt idx="68">
                  <c:v>-75.426108</c:v>
                </c:pt>
                <c:pt idx="69">
                  <c:v>-75.267892</c:v>
                </c:pt>
                <c:pt idx="70">
                  <c:v>-75.196125</c:v>
                </c:pt>
                <c:pt idx="71">
                  <c:v>-75.13933</c:v>
                </c:pt>
                <c:pt idx="72">
                  <c:v>-74.958031</c:v>
                </c:pt>
                <c:pt idx="73">
                  <c:v>-74.897305</c:v>
                </c:pt>
                <c:pt idx="74">
                  <c:v>-74.728765</c:v>
                </c:pt>
                <c:pt idx="75">
                  <c:v>-74.545318</c:v>
                </c:pt>
                <c:pt idx="76">
                  <c:v>-74.28294</c:v>
                </c:pt>
                <c:pt idx="77">
                  <c:v>-74.014805</c:v>
                </c:pt>
                <c:pt idx="78">
                  <c:v>-73.878461</c:v>
                </c:pt>
                <c:pt idx="79">
                  <c:v>-73.545695</c:v>
                </c:pt>
                <c:pt idx="80">
                  <c:v>-73.329478</c:v>
                </c:pt>
                <c:pt idx="81">
                  <c:v>-73.160724</c:v>
                </c:pt>
                <c:pt idx="82">
                  <c:v>-72.898609</c:v>
                </c:pt>
                <c:pt idx="83">
                  <c:v>-72.764958</c:v>
                </c:pt>
                <c:pt idx="84">
                  <c:v>-72.61962</c:v>
                </c:pt>
                <c:pt idx="85">
                  <c:v>-72.312343</c:v>
                </c:pt>
                <c:pt idx="86">
                  <c:v>-72.007287</c:v>
                </c:pt>
                <c:pt idx="87">
                  <c:v>-71.828633</c:v>
                </c:pt>
                <c:pt idx="88">
                  <c:v>-71.659903</c:v>
                </c:pt>
                <c:pt idx="89">
                  <c:v>-71.210936</c:v>
                </c:pt>
                <c:pt idx="90">
                  <c:v>-71.055763</c:v>
                </c:pt>
                <c:pt idx="91">
                  <c:v>-70.673345</c:v>
                </c:pt>
                <c:pt idx="92">
                  <c:v>-70.550921</c:v>
                </c:pt>
                <c:pt idx="93">
                  <c:v>-70.331173</c:v>
                </c:pt>
                <c:pt idx="94">
                  <c:v>-70.001309</c:v>
                </c:pt>
                <c:pt idx="95">
                  <c:v>-69.100781</c:v>
                </c:pt>
                <c:pt idx="96">
                  <c:v>-68.708003</c:v>
                </c:pt>
                <c:pt idx="97">
                  <c:v>-67.079156</c:v>
                </c:pt>
                <c:pt idx="98">
                  <c:v>-66.672095</c:v>
                </c:pt>
                <c:pt idx="99">
                  <c:v>-66.055498</c:v>
                </c:pt>
                <c:pt idx="100">
                  <c:v>-63.278726</c:v>
                </c:pt>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8"/>
          <c:order val="8"/>
          <c:tx>
            <c:strRef>
              <c:f>'[R4-16xxxx_Calibration on NR coexistence study for WP5D_#81_CATTv2_QC_Huawei_NEC_ZTE.xls]Step 1, No.1'!$J$25</c:f>
              <c:strCache>
                <c:ptCount val="1"/>
                <c:pt idx="0">
                  <c:v>Company 9</c:v>
                </c:pt>
              </c:strCache>
            </c:strRef>
          </c:tx>
          <c:spPr>
            <a:ln w="25400" cap="rnd" cmpd="sng" algn="ctr">
              <a:solidFill>
                <a:srgbClr val="99CC00">
                  <a:alpha val="100000"/>
                </a:srgbClr>
              </a:solidFill>
              <a:prstDash val="solid"/>
              <a:round/>
            </a:ln>
          </c:spPr>
          <c:marker>
            <c:symbol val="none"/>
          </c:marker>
          <c:dLbls>
            <c:delete val="1"/>
          </c:dLbls>
          <c:xVal>
            <c:numRef>
              <c:f>'[R4-16xxxx_Calibration on NR coexistence study for WP5D_#81_CATTv2_QC_Huawei_NEC_ZTE.xls]Step 1, No.1'!$J$27:$J$127</c:f>
              <c:numCache>
                <c:formatCode>General</c:formatCode>
                <c:ptCount val="101"/>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9"/>
          <c:order val="9"/>
          <c:tx>
            <c:strRef>
              <c:f>'[R4-16xxxx_Calibration on NR coexistence study for WP5D_#81_CATTv2_QC_Huawei_NEC_ZTE.xls]Step 1, No.1'!$K$25</c:f>
              <c:strCache>
                <c:ptCount val="1"/>
                <c:pt idx="0">
                  <c:v>Company 10</c:v>
                </c:pt>
              </c:strCache>
            </c:strRef>
          </c:tx>
          <c:spPr>
            <a:ln w="25400" cap="rnd" cmpd="sng" algn="ctr">
              <a:solidFill>
                <a:srgbClr val="666699">
                  <a:alpha val="100000"/>
                </a:srgbClr>
              </a:solidFill>
              <a:prstDash val="solid"/>
              <a:round/>
            </a:ln>
          </c:spPr>
          <c:marker>
            <c:symbol val="none"/>
          </c:marker>
          <c:dLbls>
            <c:delete val="1"/>
          </c:dLbls>
          <c:xVal>
            <c:numRef>
              <c:f>'[R4-16xxxx_Calibration on NR coexistence study for WP5D_#81_CATTv2_QC_Huawei_NEC_ZTE.xls]Step 1, No.1'!$K$27:$K$127</c:f>
              <c:numCache>
                <c:formatCode>General</c:formatCode>
                <c:ptCount val="101"/>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0"/>
          <c:order val="10"/>
          <c:tx>
            <c:strRef>
              <c:f>'[R4-16xxxx_Calibration on NR coexistence study for WP5D_#81_CATTv2_QC_Huawei_NEC_ZTE.xls]Step 1, No.1'!$L$25</c:f>
              <c:strCache>
                <c:ptCount val="1"/>
                <c:pt idx="0">
                  <c:v>Company 11</c:v>
                </c:pt>
              </c:strCache>
            </c:strRef>
          </c:tx>
          <c:spPr>
            <a:ln w="25400" cap="rnd" cmpd="sng" algn="ctr">
              <a:solidFill>
                <a:srgbClr val="33CCCC">
                  <a:alpha val="100000"/>
                </a:srgbClr>
              </a:solidFill>
              <a:prstDash val="solid"/>
              <a:round/>
            </a:ln>
          </c:spPr>
          <c:marker>
            <c:symbol val="none"/>
          </c:marker>
          <c:dLbls>
            <c:delete val="1"/>
          </c:dLbls>
          <c:xVal>
            <c:numRef>
              <c:f>'[R4-16xxxx_Calibration on NR coexistence study for WP5D_#81_CATTv2_QC_Huawei_NEC_ZTE.xls]Step 1, No.1'!$L$27:$L$127</c:f>
              <c:numCache>
                <c:formatCode>General</c:formatCode>
                <c:ptCount val="101"/>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1"/>
          <c:order val="11"/>
          <c:tx>
            <c:strRef>
              <c:f>'[R4-16xxxx_Calibration on NR coexistence study for WP5D_#81_CATTv2_QC_Huawei_NEC_ZTE.xls]Step 1, No.1'!$M$25</c:f>
              <c:strCache>
                <c:ptCount val="1"/>
                <c:pt idx="0">
                  <c:v>Company 12</c:v>
                </c:pt>
              </c:strCache>
            </c:strRef>
          </c:tx>
          <c:spPr>
            <a:ln w="25400" cap="rnd" cmpd="sng" algn="ctr">
              <a:solidFill>
                <a:srgbClr val="FF9900">
                  <a:alpha val="100000"/>
                </a:srgbClr>
              </a:solidFill>
              <a:prstDash val="solid"/>
              <a:round/>
            </a:ln>
          </c:spPr>
          <c:marker>
            <c:symbol val="none"/>
          </c:marker>
          <c:dLbls>
            <c:delete val="1"/>
          </c:dLbls>
          <c:xVal>
            <c:numRef>
              <c:f>'[R4-16xxxx_Calibration on NR coexistence study for WP5D_#81_CATTv2_QC_Huawei_NEC_ZTE.xls]Step 1, No.1'!$M$27:$M$127</c:f>
              <c:numCache>
                <c:formatCode>General</c:formatCode>
                <c:ptCount val="101"/>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ser>
          <c:idx val="12"/>
          <c:order val="12"/>
          <c:tx>
            <c:strRef>
              <c:f>'[R4-16xxxx_Calibration on NR coexistence study for WP5D_#81_CATTv2_QC_Huawei_NEC_ZTE.xls]Step 1, No.1'!$N$25</c:f>
              <c:strCache>
                <c:ptCount val="1"/>
                <c:pt idx="0">
                  <c:v>Company 13</c:v>
                </c:pt>
              </c:strCache>
            </c:strRef>
          </c:tx>
          <c:spPr>
            <a:ln w="25400" cap="rnd" cmpd="sng" algn="ctr">
              <a:solidFill>
                <a:srgbClr val="99CCFF">
                  <a:alpha val="100000"/>
                </a:srgbClr>
              </a:solidFill>
              <a:prstDash val="solid"/>
              <a:round/>
            </a:ln>
          </c:spPr>
          <c:marker>
            <c:symbol val="none"/>
          </c:marker>
          <c:dLbls>
            <c:delete val="1"/>
          </c:dLbls>
          <c:xVal>
            <c:numRef>
              <c:f>'[R4-16xxxx_Calibration on NR coexistence study for WP5D_#81_CATTv2_QC_Huawei_NEC_ZTE.xls]Step 1, No.1'!$N$27:$N$127</c:f>
              <c:numCache>
                <c:formatCode>General</c:formatCode>
                <c:ptCount val="101"/>
              </c:numCache>
            </c:numRef>
          </c:xVal>
          <c:yVal>
            <c:numRef>
              <c:f>'[R4-16xxxx_Calibration on NR coexistence study for WP5D_#81_CATTv2_QC_Huawei_NEC_ZTE.xls]Step 1, No.1'!$A$27:$A$127</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ser>
        <c:dLbls>
          <c:showLegendKey val="0"/>
          <c:showVal val="0"/>
          <c:showCatName val="0"/>
          <c:showSerName val="0"/>
          <c:showPercent val="0"/>
          <c:showBubbleSize val="0"/>
        </c:dLbls>
        <c:axId val="280107806"/>
        <c:axId val="998812980"/>
      </c:scatterChart>
      <c:valAx>
        <c:axId val="280107806"/>
        <c:scaling>
          <c:orientation val="minMax"/>
          <c:max val="-50"/>
          <c:min val="-250"/>
        </c:scaling>
        <c:delete val="0"/>
        <c:axPos val="b"/>
        <c:title>
          <c:tx>
            <c:rich>
              <a:bodyPr rot="0" spcFirstLastPara="0" vertOverflow="ellipsis" vert="horz" wrap="square" anchor="ctr" anchorCtr="1"/>
              <a:lstStyle/>
              <a:p>
                <a:pPr defTabSz="914400">
                  <a:defRPr lang="zh-CN" sz="1000" b="1" i="0" u="none" strike="noStrike" kern="1200" baseline="0">
                    <a:solidFill>
                      <a:srgbClr val="000000">
                        <a:alpha val="100000"/>
                      </a:srgbClr>
                    </a:solidFill>
                    <a:latin typeface="Calibri" panose="020F0502020204030204" pitchFamily="2" charset="0"/>
                    <a:ea typeface="Calibri" panose="020F0502020204030204" pitchFamily="2" charset="0"/>
                    <a:cs typeface="Calibri" panose="020F0502020204030204" pitchFamily="2" charset="0"/>
                  </a:defRPr>
                </a:pPr>
                <a:r>
                  <a:t>Path loss [dB]</a:t>
                </a:r>
                <a:endParaRPr sz="1000" b="1" i="0" u="none" strike="noStrike" baseline="0">
                  <a:solidFill>
                    <a:srgbClr val="000000">
                      <a:alpha val="100000"/>
                    </a:srgbClr>
                  </a:solidFill>
                  <a:latin typeface="Calibri" panose="020F0502020204030204" pitchFamily="2" charset="0"/>
                  <a:ea typeface="Calibri" panose="020F0502020204030204" pitchFamily="2" charset="0"/>
                  <a:cs typeface="Calibri" panose="020F0502020204030204" pitchFamily="2" charset="0"/>
                </a:endParaRPr>
              </a:p>
            </c:rich>
          </c:tx>
          <c:layout>
            <c:manualLayout>
              <c:xMode val="edge"/>
              <c:yMode val="edge"/>
              <c:x val="0.427165698775842"/>
              <c:y val="0.920069713508034"/>
            </c:manualLayout>
          </c:layout>
          <c:overlay val="0"/>
        </c:title>
        <c:numFmt formatCode="General" sourceLinked="1"/>
        <c:majorTickMark val="out"/>
        <c:minorTickMark val="none"/>
        <c:tickLblPos val="nextTo"/>
        <c:spPr>
          <a:ln w="3175" cap="flat" cmpd="sng" algn="ctr">
            <a:solidFill>
              <a:srgbClr val="808080">
                <a:alpha val="100000"/>
              </a:srgbClr>
            </a:solidFill>
            <a:prstDash val="solid"/>
            <a:round/>
          </a:ln>
        </c:spPr>
        <c:txPr>
          <a:bodyPr rot="0" spcFirstLastPara="0" vertOverflow="ellipsis" vert="horz" wrap="square" anchor="ctr" anchorCtr="1"/>
          <a:lstStyle/>
          <a:p>
            <a:pPr>
              <a:defRPr lang="zh-CN" sz="10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p>
        </c:txPr>
        <c:crossAx val="998812980"/>
        <c:crossesAt val="0"/>
        <c:crossBetween val="midCat"/>
      </c:valAx>
      <c:valAx>
        <c:axId val="998812980"/>
        <c:scaling>
          <c:orientation val="minMax"/>
          <c:max val="100"/>
          <c:min val="0"/>
        </c:scaling>
        <c:delete val="0"/>
        <c:axPos val="l"/>
        <c:majorGridlines>
          <c:spPr>
            <a:ln w="3175" cap="flat" cmpd="sng" algn="ctr">
              <a:solidFill>
                <a:srgbClr val="808080">
                  <a:alpha val="100000"/>
                </a:srgbClr>
              </a:solidFill>
              <a:prstDash val="solid"/>
              <a:round/>
            </a:ln>
          </c:spPr>
        </c:majorGridlines>
        <c:title>
          <c:tx>
            <c:rich>
              <a:bodyPr rot="-5400000" spcFirstLastPara="0" vertOverflow="ellipsis" vert="horz" wrap="square" anchor="ctr" anchorCtr="1"/>
              <a:lstStyle/>
              <a:p>
                <a:pPr defTabSz="914400">
                  <a:defRPr lang="zh-CN" sz="1000" b="1" i="0" u="none" strike="noStrike" kern="1200" baseline="0">
                    <a:solidFill>
                      <a:srgbClr val="000000">
                        <a:alpha val="100000"/>
                      </a:srgbClr>
                    </a:solidFill>
                    <a:latin typeface="Calibri" panose="020F0502020204030204" pitchFamily="2" charset="0"/>
                    <a:ea typeface="Calibri" panose="020F0502020204030204" pitchFamily="2" charset="0"/>
                    <a:cs typeface="Calibri" panose="020F0502020204030204" pitchFamily="2" charset="0"/>
                  </a:defRPr>
                </a:pPr>
                <a:r>
                  <a:t>CDF [%]</a:t>
                </a:r>
                <a:endParaRPr sz="1000" b="1" i="0" u="none" strike="noStrike" baseline="0">
                  <a:solidFill>
                    <a:srgbClr val="000000">
                      <a:alpha val="100000"/>
                    </a:srgbClr>
                  </a:solidFill>
                  <a:latin typeface="Calibri" panose="020F0502020204030204" pitchFamily="2" charset="0"/>
                  <a:ea typeface="Calibri" panose="020F0502020204030204" pitchFamily="2" charset="0"/>
                  <a:cs typeface="Calibri" panose="020F0502020204030204" pitchFamily="2" charset="0"/>
                </a:endParaRPr>
              </a:p>
            </c:rich>
          </c:tx>
          <c:layout>
            <c:manualLayout>
              <c:xMode val="edge"/>
              <c:yMode val="edge"/>
              <c:x val="0.019028894354085"/>
              <c:y val="0.38265355719424"/>
            </c:manualLayout>
          </c:layout>
          <c:overlay val="0"/>
        </c:title>
        <c:numFmt formatCode="General" sourceLinked="1"/>
        <c:majorTickMark val="out"/>
        <c:minorTickMark val="none"/>
        <c:tickLblPos val="nextTo"/>
        <c:spPr>
          <a:ln w="3175" cap="flat" cmpd="sng" algn="ctr">
            <a:solidFill>
              <a:srgbClr val="808080">
                <a:alpha val="100000"/>
              </a:srgbClr>
            </a:solidFill>
            <a:prstDash val="solid"/>
            <a:round/>
          </a:ln>
        </c:spPr>
        <c:txPr>
          <a:bodyPr rot="0" spcFirstLastPara="0" vertOverflow="ellipsis" vert="horz" wrap="square" anchor="ctr" anchorCtr="1"/>
          <a:lstStyle/>
          <a:p>
            <a:pPr>
              <a:defRPr lang="zh-CN" sz="1000" b="0" i="0" u="none" strike="noStrike" kern="1200" baseline="0">
                <a:solidFill>
                  <a:srgbClr val="000000">
                    <a:alpha val="100000"/>
                  </a:srgbClr>
                </a:solidFill>
                <a:latin typeface="Calibri" panose="020F0502020204030204" pitchFamily="2" charset="0"/>
                <a:ea typeface="Calibri" panose="020F0502020204030204" pitchFamily="2" charset="0"/>
                <a:cs typeface="Calibri" panose="020F0502020204030204" pitchFamily="2" charset="0"/>
              </a:defRPr>
            </a:pPr>
          </a:p>
        </c:txPr>
        <c:crossAx val="280107806"/>
        <c:crossesAt val="-250"/>
        <c:crossBetween val="midCat"/>
      </c:valAx>
      <c:spPr>
        <a:solidFill>
          <a:srgbClr val="FFFFFF">
            <a:alpha val="100000"/>
          </a:srgbClr>
        </a:solidFill>
        <a:ln w="3175">
          <a:noFill/>
        </a:ln>
      </c:spPr>
    </c:plotArea>
    <c:legend>
      <c:legendPos val="r"/>
      <c:layout>
        <c:manualLayout>
          <c:xMode val="edge"/>
          <c:yMode val="edge"/>
          <c:x val="0.8845"/>
          <c:y val="0.2035"/>
          <c:w val="0.107226107226107"/>
          <c:h val="0.580474934036939"/>
        </c:manualLayout>
      </c:layout>
      <c:overlay val="0"/>
      <c:spPr>
        <a:noFill/>
        <a:ln w="3175">
          <a:noFill/>
        </a:ln>
      </c:spPr>
      <c:txPr>
        <a:bodyPr rot="0" spcFirstLastPara="0" vertOverflow="ellipsis" vert="horz" wrap="square" anchor="ctr" anchorCtr="1"/>
        <a:lstStyle/>
        <a:p>
          <a:pPr>
            <a:defRPr lang="zh-CN" sz="500" b="0" i="0" u="none" strike="noStrike" kern="1200" baseline="0">
              <a:solidFill>
                <a:srgbClr val="000000"/>
              </a:solidFill>
              <a:latin typeface="Calibri" panose="020F0502020204030204"/>
              <a:ea typeface="Calibri" panose="020F0502020204030204"/>
              <a:cs typeface="Calibri" panose="020F0502020204030204"/>
            </a:defRPr>
          </a:pPr>
        </a:p>
      </c:txPr>
    </c:legend>
    <c:plotVisOnly val="1"/>
    <c:dispBlanksAs val="gap"/>
    <c:showDLblsOverMax val="0"/>
  </c:chart>
  <c:spPr>
    <a:solidFill>
      <a:srgbClr val="FFFFFF">
        <a:alpha val="100000"/>
      </a:srgbClr>
    </a:solidFill>
    <a:ln w="3175" cap="flat" cmpd="sng" algn="ctr">
      <a:solidFill>
        <a:srgbClr val="808080">
          <a:alpha val="100000"/>
        </a:srgbClr>
      </a:solidFill>
      <a:prstDash val="solid"/>
      <a:round/>
    </a:ln>
  </c:spPr>
  <c:txPr>
    <a:bodyPr rot="0" wrap="square" anchor="ctr" anchorCtr="1"/>
    <a:lstStyle/>
    <a:p>
      <a:pPr>
        <a:defRPr lang="zh-CN" sz="1100" b="0" i="0" u="none" strike="noStrike" baseline="0">
          <a:solidFill>
            <a:srgbClr val="000000">
              <a:alpha val="100000"/>
            </a:srgbClr>
          </a:solidFill>
          <a:latin typeface="宋体" panose="02010600030101010101" charset="-122"/>
          <a:ea typeface="宋体" panose="02010600030101010101" charset="-122"/>
          <a:cs typeface="宋体" panose="02010600030101010101" charset="-122"/>
        </a:defRPr>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2022-02-14T16:08:04Z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